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B5" w:rsidRDefault="008300B5" w:rsidP="008300B5">
      <w:pPr>
        <w:jc w:val="center"/>
        <w:rPr>
          <w:rFonts w:ascii="黑体" w:eastAsia="黑体" w:hAnsi="宋体"/>
          <w:sz w:val="44"/>
          <w:szCs w:val="44"/>
        </w:rPr>
      </w:pPr>
      <w:r w:rsidRPr="00F94177">
        <w:rPr>
          <w:rFonts w:ascii="黑体" w:eastAsia="黑体" w:hAnsi="宋体" w:hint="eastAsia"/>
          <w:sz w:val="44"/>
          <w:szCs w:val="44"/>
        </w:rPr>
        <w:t>关于组织</w:t>
      </w:r>
      <w:r>
        <w:rPr>
          <w:rFonts w:ascii="黑体" w:eastAsia="黑体" w:hAnsi="宋体" w:hint="eastAsia"/>
          <w:sz w:val="44"/>
          <w:szCs w:val="44"/>
        </w:rPr>
        <w:t>我校学生</w:t>
      </w:r>
      <w:r w:rsidRPr="00F94177">
        <w:rPr>
          <w:rFonts w:ascii="黑体" w:eastAsia="黑体" w:hAnsi="宋体" w:hint="eastAsia"/>
          <w:sz w:val="44"/>
          <w:szCs w:val="44"/>
        </w:rPr>
        <w:t>参加20</w:t>
      </w:r>
      <w:r>
        <w:rPr>
          <w:rFonts w:ascii="黑体" w:eastAsia="黑体" w:hAnsi="宋体" w:hint="eastAsia"/>
          <w:sz w:val="44"/>
          <w:szCs w:val="44"/>
        </w:rPr>
        <w:t>15年</w:t>
      </w:r>
    </w:p>
    <w:p w:rsidR="008300B5" w:rsidRPr="00F94177" w:rsidRDefault="008300B5" w:rsidP="008300B5">
      <w:pPr>
        <w:jc w:val="center"/>
        <w:rPr>
          <w:rFonts w:ascii="黑体" w:eastAsia="黑体" w:hAnsi="宋体"/>
          <w:sz w:val="44"/>
          <w:szCs w:val="44"/>
        </w:rPr>
      </w:pPr>
      <w:r w:rsidRPr="00F94177">
        <w:rPr>
          <w:rFonts w:ascii="黑体" w:eastAsia="黑体" w:hAnsi="宋体" w:hint="eastAsia"/>
          <w:sz w:val="44"/>
          <w:szCs w:val="44"/>
        </w:rPr>
        <w:t>“全国大学生数学建模竞赛”的通知</w:t>
      </w:r>
    </w:p>
    <w:p w:rsidR="009F1579" w:rsidRDefault="009F1579" w:rsidP="009F1579">
      <w:pPr>
        <w:adjustRightInd w:val="0"/>
        <w:snapToGrid w:val="0"/>
        <w:jc w:val="center"/>
        <w:rPr>
          <w:rFonts w:ascii="仿宋_GB2312" w:eastAsia="仿宋_GB2312" w:hAnsi="宋体"/>
          <w:sz w:val="30"/>
          <w:szCs w:val="30"/>
        </w:rPr>
      </w:pPr>
    </w:p>
    <w:p w:rsidR="008300B5" w:rsidRPr="009F1579" w:rsidRDefault="008300B5" w:rsidP="009F1579">
      <w:pPr>
        <w:adjustRightInd w:val="0"/>
        <w:snapToGrid w:val="0"/>
        <w:jc w:val="center"/>
        <w:rPr>
          <w:rFonts w:ascii="仿宋_GB2312" w:eastAsia="仿宋_GB2312" w:hAnsi="宋体"/>
          <w:sz w:val="30"/>
          <w:szCs w:val="30"/>
        </w:rPr>
      </w:pPr>
      <w:r w:rsidRPr="009F1579">
        <w:rPr>
          <w:rFonts w:ascii="仿宋_GB2312" w:eastAsia="仿宋_GB2312" w:hAnsi="宋体" w:hint="eastAsia"/>
          <w:sz w:val="30"/>
          <w:szCs w:val="30"/>
        </w:rPr>
        <w:t>教通</w:t>
      </w:r>
      <w:r w:rsidR="00632B99">
        <w:rPr>
          <w:rFonts w:ascii="仿宋_GB2312" w:eastAsia="仿宋_GB2312" w:hAnsi="宋体" w:hint="eastAsia"/>
          <w:sz w:val="30"/>
          <w:szCs w:val="30"/>
        </w:rPr>
        <w:t>[2015]40</w:t>
      </w:r>
      <w:r w:rsidRPr="009F1579">
        <w:rPr>
          <w:rFonts w:ascii="仿宋_GB2312" w:eastAsia="仿宋_GB2312" w:hAnsi="宋体" w:hint="eastAsia"/>
          <w:sz w:val="30"/>
          <w:szCs w:val="30"/>
        </w:rPr>
        <w:t>号</w:t>
      </w:r>
    </w:p>
    <w:p w:rsidR="009F1579" w:rsidRDefault="009F1579" w:rsidP="009F1579">
      <w:pPr>
        <w:adjustRightInd w:val="0"/>
        <w:snapToGrid w:val="0"/>
        <w:rPr>
          <w:rFonts w:ascii="仿宋_GB2312" w:eastAsia="仿宋_GB2312" w:hAnsi="宋体"/>
          <w:sz w:val="30"/>
          <w:szCs w:val="30"/>
        </w:rPr>
      </w:pPr>
    </w:p>
    <w:p w:rsidR="008300B5" w:rsidRPr="009F1579" w:rsidRDefault="008300B5" w:rsidP="009F1579">
      <w:pPr>
        <w:adjustRightInd w:val="0"/>
        <w:snapToGrid w:val="0"/>
        <w:rPr>
          <w:rFonts w:ascii="仿宋_GB2312" w:eastAsia="仿宋_GB2312" w:hAnsi="宋体"/>
          <w:sz w:val="30"/>
          <w:szCs w:val="30"/>
        </w:rPr>
      </w:pPr>
      <w:r w:rsidRPr="009F1579">
        <w:rPr>
          <w:rFonts w:ascii="仿宋_GB2312" w:eastAsia="仿宋_GB2312" w:hAnsi="宋体" w:hint="eastAsia"/>
          <w:sz w:val="30"/>
          <w:szCs w:val="30"/>
        </w:rPr>
        <w:t>各学院：</w:t>
      </w:r>
    </w:p>
    <w:p w:rsidR="008300B5" w:rsidRPr="009F1579" w:rsidRDefault="008300B5" w:rsidP="009F1579">
      <w:pPr>
        <w:adjustRightInd w:val="0"/>
        <w:snapToGrid w:val="0"/>
        <w:ind w:firstLineChars="200" w:firstLine="600"/>
        <w:rPr>
          <w:rFonts w:ascii="仿宋_GB2312" w:eastAsia="仿宋_GB2312" w:hAnsi="宋体"/>
          <w:sz w:val="30"/>
          <w:szCs w:val="30"/>
        </w:rPr>
      </w:pPr>
      <w:r w:rsidRPr="009F1579">
        <w:rPr>
          <w:rFonts w:ascii="仿宋_GB2312" w:eastAsia="仿宋_GB2312" w:hAnsi="宋体" w:hint="eastAsia"/>
          <w:sz w:val="30"/>
          <w:szCs w:val="30"/>
        </w:rPr>
        <w:t>2015年“全国大学生数学建模竞赛”将于2015年9月11日（周五）8：00至</w:t>
      </w:r>
      <w:r w:rsidR="009A7F3F" w:rsidRPr="009F1579">
        <w:rPr>
          <w:rFonts w:ascii="仿宋_GB2312" w:eastAsia="仿宋_GB2312" w:hAnsi="宋体" w:hint="eastAsia"/>
          <w:sz w:val="30"/>
          <w:szCs w:val="30"/>
        </w:rPr>
        <w:t>14</w:t>
      </w:r>
      <w:r w:rsidRPr="009F1579">
        <w:rPr>
          <w:rFonts w:ascii="仿宋_GB2312" w:eastAsia="仿宋_GB2312" w:hAnsi="宋体" w:hint="eastAsia"/>
          <w:sz w:val="30"/>
          <w:szCs w:val="30"/>
        </w:rPr>
        <w:t>日（周一）8：00举行，学校将组队参加比赛。现将报名事宜通知如下：</w:t>
      </w:r>
    </w:p>
    <w:p w:rsidR="008300B5" w:rsidRPr="009F1579" w:rsidRDefault="008300B5" w:rsidP="009F1579">
      <w:pPr>
        <w:adjustRightInd w:val="0"/>
        <w:snapToGrid w:val="0"/>
        <w:ind w:firstLineChars="210" w:firstLine="630"/>
        <w:rPr>
          <w:rFonts w:ascii="仿宋_GB2312" w:eastAsia="仿宋_GB2312" w:hAnsi="宋体"/>
          <w:sz w:val="30"/>
          <w:szCs w:val="30"/>
        </w:rPr>
      </w:pPr>
      <w:r w:rsidRPr="009F1579">
        <w:rPr>
          <w:rFonts w:ascii="仿宋_GB2312" w:eastAsia="仿宋_GB2312" w:hAnsi="宋体" w:hint="eastAsia"/>
          <w:sz w:val="30"/>
          <w:szCs w:val="30"/>
        </w:rPr>
        <w:t>一、请学院做好学生的宣传动员工作，积极组织学生参加比赛，各学院参赛队不限名额，报名费由教务处承担。一旦报名，必须按时提交参赛作品。</w:t>
      </w:r>
    </w:p>
    <w:p w:rsidR="008300B5" w:rsidRPr="009F1579" w:rsidRDefault="008300B5" w:rsidP="009F1579">
      <w:pPr>
        <w:adjustRightInd w:val="0"/>
        <w:snapToGrid w:val="0"/>
        <w:ind w:firstLineChars="210" w:firstLine="630"/>
        <w:rPr>
          <w:rFonts w:ascii="仿宋_GB2312" w:eastAsia="仿宋_GB2312" w:hAnsi="宋体"/>
          <w:sz w:val="30"/>
          <w:szCs w:val="30"/>
        </w:rPr>
      </w:pPr>
      <w:r w:rsidRPr="009F1579">
        <w:rPr>
          <w:rFonts w:ascii="仿宋_GB2312" w:eastAsia="仿宋_GB2312" w:hAnsi="宋体" w:hint="eastAsia"/>
          <w:sz w:val="30"/>
          <w:szCs w:val="30"/>
        </w:rPr>
        <w:t>二、比赛分为甲乙两组，甲组为本科组，乙组为专科组。</w:t>
      </w:r>
      <w:r w:rsidRPr="009F1579">
        <w:rPr>
          <w:rFonts w:ascii="仿宋_GB2312" w:eastAsia="仿宋_GB2312" w:hAnsi="宋体" w:cs="宋体" w:hint="eastAsia"/>
          <w:kern w:val="0"/>
          <w:sz w:val="30"/>
          <w:szCs w:val="30"/>
        </w:rPr>
        <w:t>本科生只能参加本科组竞赛，不能参加专科组竞赛，专科（高职高专）生可参加专科组竞赛，也可参加本科组组竞赛，但在报名时需明确标明竞赛组别，一旦标注，不可更改。</w:t>
      </w:r>
      <w:r w:rsidRPr="009F1579">
        <w:rPr>
          <w:rFonts w:ascii="仿宋_GB2312" w:eastAsia="仿宋_GB2312" w:hAnsi="宋体" w:hint="eastAsia"/>
          <w:sz w:val="30"/>
          <w:szCs w:val="30"/>
        </w:rPr>
        <w:t>每组参赛选手3人，指导教师1名，若指导教师为2人（含2人）以上，荣誉证书只有第一位指导教师的姓名。</w:t>
      </w:r>
    </w:p>
    <w:p w:rsidR="008300B5" w:rsidRPr="009F1579" w:rsidRDefault="008300B5" w:rsidP="009F1579">
      <w:pPr>
        <w:adjustRightInd w:val="0"/>
        <w:snapToGrid w:val="0"/>
        <w:ind w:firstLineChars="210" w:firstLine="630"/>
        <w:rPr>
          <w:rFonts w:ascii="仿宋_GB2312" w:eastAsia="仿宋_GB2312" w:hAnsi="宋体"/>
          <w:sz w:val="30"/>
          <w:szCs w:val="30"/>
        </w:rPr>
      </w:pPr>
      <w:r w:rsidRPr="009F1579">
        <w:rPr>
          <w:rFonts w:ascii="仿宋_GB2312" w:eastAsia="仿宋_GB2312" w:hAnsi="宋体" w:hint="eastAsia"/>
          <w:sz w:val="30"/>
          <w:szCs w:val="30"/>
        </w:rPr>
        <w:t>三、各学院报名表请加盖公章于6月17日前交教务处教学科，</w:t>
      </w:r>
      <w:hyperlink r:id="rId6" w:history="1">
        <w:r w:rsidRPr="009F1579">
          <w:rPr>
            <w:rStyle w:val="a5"/>
            <w:rFonts w:ascii="仿宋_GB2312" w:eastAsia="仿宋_GB2312" w:hAnsi="宋体" w:hint="eastAsia"/>
            <w:sz w:val="30"/>
            <w:szCs w:val="30"/>
          </w:rPr>
          <w:t>电子版请发送至ynnydxjxk@126.com</w:t>
        </w:r>
      </w:hyperlink>
      <w:r w:rsidRPr="009F1579">
        <w:rPr>
          <w:rFonts w:ascii="仿宋_GB2312" w:eastAsia="仿宋_GB2312" w:hAnsi="宋体" w:hint="eastAsia"/>
          <w:sz w:val="30"/>
          <w:szCs w:val="30"/>
        </w:rPr>
        <w:t>。并请学生于6月25日前登陆云南省大学生数学建模竞赛平台</w:t>
      </w:r>
      <w:r w:rsidR="009A7F3F" w:rsidRPr="009F1579">
        <w:rPr>
          <w:rStyle w:val="a5"/>
          <w:rFonts w:ascii="仿宋_GB2312" w:eastAsia="仿宋_GB2312" w:hAnsi="宋体" w:hint="eastAsia"/>
          <w:sz w:val="30"/>
          <w:szCs w:val="30"/>
        </w:rPr>
        <w:t>http://www.saikr.com/cumcmyn</w:t>
      </w:r>
      <w:r w:rsidRPr="009F1579">
        <w:rPr>
          <w:rFonts w:ascii="仿宋_GB2312" w:eastAsia="仿宋_GB2312" w:hAnsi="宋体" w:hint="eastAsia"/>
          <w:sz w:val="30"/>
          <w:szCs w:val="30"/>
        </w:rPr>
        <w:t>进行网络报名，一旦报名，不可退赛。</w:t>
      </w:r>
    </w:p>
    <w:p w:rsidR="009F1579" w:rsidRDefault="009F1579" w:rsidP="009F1579">
      <w:pPr>
        <w:adjustRightInd w:val="0"/>
        <w:snapToGrid w:val="0"/>
        <w:ind w:firstLineChars="200" w:firstLine="600"/>
        <w:rPr>
          <w:rFonts w:ascii="仿宋_GB2312" w:eastAsia="仿宋_GB2312" w:hAnsi="宋体"/>
          <w:sz w:val="30"/>
          <w:szCs w:val="30"/>
        </w:rPr>
      </w:pPr>
    </w:p>
    <w:p w:rsidR="008300B5" w:rsidRPr="009F1579" w:rsidRDefault="008300B5" w:rsidP="009F1579">
      <w:pPr>
        <w:adjustRightInd w:val="0"/>
        <w:snapToGrid w:val="0"/>
        <w:ind w:firstLineChars="200" w:firstLine="600"/>
        <w:rPr>
          <w:rFonts w:ascii="仿宋_GB2312" w:eastAsia="仿宋_GB2312" w:hAnsi="宋体"/>
          <w:sz w:val="30"/>
          <w:szCs w:val="30"/>
        </w:rPr>
      </w:pPr>
      <w:r w:rsidRPr="009F1579">
        <w:rPr>
          <w:rFonts w:ascii="仿宋_GB2312" w:eastAsia="仿宋_GB2312" w:hAnsi="宋体" w:hint="eastAsia"/>
          <w:sz w:val="30"/>
          <w:szCs w:val="30"/>
        </w:rPr>
        <w:t>附件：1.20</w:t>
      </w:r>
      <w:r w:rsidR="009A7F3F" w:rsidRPr="009F1579">
        <w:rPr>
          <w:rFonts w:ascii="仿宋_GB2312" w:eastAsia="仿宋_GB2312" w:hAnsi="宋体" w:hint="eastAsia"/>
          <w:sz w:val="30"/>
          <w:szCs w:val="30"/>
        </w:rPr>
        <w:t>15</w:t>
      </w:r>
      <w:r w:rsidRPr="009F1579">
        <w:rPr>
          <w:rFonts w:ascii="仿宋_GB2312" w:eastAsia="仿宋_GB2312" w:hAnsi="宋体" w:hint="eastAsia"/>
          <w:sz w:val="30"/>
          <w:szCs w:val="30"/>
        </w:rPr>
        <w:t>年“全国大学生数学建模竞赛”报名表</w:t>
      </w:r>
    </w:p>
    <w:p w:rsidR="008300B5" w:rsidRPr="009F1579" w:rsidRDefault="008300B5" w:rsidP="009F1579">
      <w:pPr>
        <w:adjustRightInd w:val="0"/>
        <w:snapToGrid w:val="0"/>
        <w:ind w:leftChars="284" w:left="1796" w:hangingChars="400" w:hanging="1200"/>
        <w:rPr>
          <w:rFonts w:ascii="仿宋_GB2312" w:eastAsia="仿宋_GB2312" w:hAnsi="宋体"/>
          <w:sz w:val="30"/>
          <w:szCs w:val="30"/>
        </w:rPr>
      </w:pPr>
      <w:r w:rsidRPr="009F1579">
        <w:rPr>
          <w:rFonts w:ascii="仿宋_GB2312" w:eastAsia="仿宋_GB2312" w:hAnsi="宋体" w:hint="eastAsia"/>
          <w:sz w:val="30"/>
          <w:szCs w:val="30"/>
        </w:rPr>
        <w:t xml:space="preserve">      2.云南省教育厅关于做好</w:t>
      </w:r>
      <w:r w:rsidR="009A7F3F" w:rsidRPr="009F1579">
        <w:rPr>
          <w:rFonts w:ascii="仿宋_GB2312" w:eastAsia="仿宋_GB2312" w:hAnsi="宋体" w:hint="eastAsia"/>
          <w:sz w:val="30"/>
          <w:szCs w:val="30"/>
        </w:rPr>
        <w:t>2015</w:t>
      </w:r>
      <w:r w:rsidRPr="009F1579">
        <w:rPr>
          <w:rFonts w:ascii="仿宋_GB2312" w:eastAsia="仿宋_GB2312" w:hAnsi="宋体" w:hint="eastAsia"/>
          <w:sz w:val="30"/>
          <w:szCs w:val="30"/>
        </w:rPr>
        <w:t>年全国大学生数学建模竞赛云南赛区竞赛组织工作的通知</w:t>
      </w:r>
    </w:p>
    <w:p w:rsidR="009F1579" w:rsidRPr="009F1579" w:rsidRDefault="009F1579" w:rsidP="009F1579">
      <w:pPr>
        <w:adjustRightInd w:val="0"/>
        <w:snapToGrid w:val="0"/>
        <w:ind w:firstLineChars="1750" w:firstLine="5250"/>
        <w:rPr>
          <w:rFonts w:ascii="仿宋_GB2312" w:eastAsia="仿宋_GB2312" w:hAnsi="宋体"/>
          <w:sz w:val="30"/>
          <w:szCs w:val="30"/>
        </w:rPr>
      </w:pPr>
    </w:p>
    <w:p w:rsidR="009F1579" w:rsidRDefault="009F1579" w:rsidP="009F1579">
      <w:pPr>
        <w:adjustRightInd w:val="0"/>
        <w:snapToGrid w:val="0"/>
        <w:ind w:firstLineChars="1750" w:firstLine="5250"/>
        <w:rPr>
          <w:rFonts w:ascii="仿宋_GB2312" w:eastAsia="仿宋_GB2312" w:hAnsi="宋体"/>
          <w:sz w:val="30"/>
          <w:szCs w:val="30"/>
        </w:rPr>
      </w:pPr>
    </w:p>
    <w:p w:rsidR="008300B5" w:rsidRPr="009F1579" w:rsidRDefault="009A7F3F" w:rsidP="009F1579">
      <w:pPr>
        <w:adjustRightInd w:val="0"/>
        <w:snapToGrid w:val="0"/>
        <w:ind w:firstLineChars="1750" w:firstLine="5250"/>
        <w:rPr>
          <w:rFonts w:ascii="仿宋_GB2312" w:eastAsia="仿宋_GB2312" w:hAnsi="宋体"/>
          <w:sz w:val="30"/>
          <w:szCs w:val="30"/>
        </w:rPr>
      </w:pPr>
      <w:r w:rsidRPr="009F1579">
        <w:rPr>
          <w:rFonts w:ascii="仿宋_GB2312" w:eastAsia="仿宋_GB2312" w:hAnsi="宋体" w:hint="eastAsia"/>
          <w:sz w:val="30"/>
          <w:szCs w:val="30"/>
        </w:rPr>
        <w:t>二○一五</w:t>
      </w:r>
      <w:r w:rsidR="008300B5" w:rsidRPr="009F1579">
        <w:rPr>
          <w:rFonts w:ascii="仿宋_GB2312" w:eastAsia="仿宋_GB2312" w:hAnsi="宋体" w:hint="eastAsia"/>
          <w:sz w:val="30"/>
          <w:szCs w:val="30"/>
        </w:rPr>
        <w:t>年六月九日</w:t>
      </w:r>
    </w:p>
    <w:p w:rsidR="009F1579" w:rsidRDefault="009F1579" w:rsidP="008300B5">
      <w:pPr>
        <w:spacing w:line="360" w:lineRule="auto"/>
        <w:rPr>
          <w:rFonts w:ascii="黑体" w:eastAsia="黑体" w:hAnsi="宋体" w:hint="eastAsia"/>
          <w:sz w:val="32"/>
          <w:szCs w:val="32"/>
        </w:rPr>
      </w:pPr>
    </w:p>
    <w:p w:rsidR="00041AF6" w:rsidRDefault="00041AF6" w:rsidP="008300B5">
      <w:pPr>
        <w:spacing w:line="360" w:lineRule="auto"/>
        <w:rPr>
          <w:rFonts w:ascii="黑体" w:eastAsia="黑体" w:hAnsi="宋体"/>
          <w:sz w:val="32"/>
          <w:szCs w:val="32"/>
        </w:rPr>
      </w:pPr>
    </w:p>
    <w:p w:rsidR="008300B5" w:rsidRPr="009F1579" w:rsidRDefault="008300B5" w:rsidP="008300B5">
      <w:pPr>
        <w:spacing w:line="360" w:lineRule="auto"/>
        <w:rPr>
          <w:rFonts w:ascii="黑体" w:eastAsia="黑体" w:hAnsi="宋体"/>
          <w:sz w:val="30"/>
          <w:szCs w:val="30"/>
        </w:rPr>
      </w:pPr>
      <w:r w:rsidRPr="009F1579">
        <w:rPr>
          <w:rFonts w:ascii="黑体" w:eastAsia="黑体" w:hAnsi="宋体" w:hint="eastAsia"/>
          <w:sz w:val="30"/>
          <w:szCs w:val="30"/>
        </w:rPr>
        <w:lastRenderedPageBreak/>
        <w:t>附件1：</w:t>
      </w:r>
    </w:p>
    <w:p w:rsidR="008300B5" w:rsidRPr="006F7B8F" w:rsidRDefault="008300B5" w:rsidP="008300B5">
      <w:pPr>
        <w:spacing w:line="360" w:lineRule="auto"/>
        <w:ind w:firstLineChars="300" w:firstLine="1080"/>
        <w:rPr>
          <w:rFonts w:ascii="黑体" w:eastAsia="黑体" w:hAnsi="宋体"/>
          <w:sz w:val="36"/>
          <w:szCs w:val="36"/>
        </w:rPr>
      </w:pPr>
      <w:r w:rsidRPr="006F7B8F">
        <w:rPr>
          <w:rFonts w:ascii="黑体" w:eastAsia="黑体" w:hAnsi="宋体" w:hint="eastAsia"/>
          <w:sz w:val="36"/>
          <w:szCs w:val="36"/>
        </w:rPr>
        <w:t>201</w:t>
      </w:r>
      <w:r w:rsidR="009A7F3F">
        <w:rPr>
          <w:rFonts w:ascii="黑体" w:eastAsia="黑体" w:hAnsi="宋体" w:hint="eastAsia"/>
          <w:sz w:val="36"/>
          <w:szCs w:val="36"/>
        </w:rPr>
        <w:t>5</w:t>
      </w:r>
      <w:r w:rsidRPr="006F7B8F">
        <w:rPr>
          <w:rFonts w:ascii="黑体" w:eastAsia="黑体" w:hAnsi="宋体" w:hint="eastAsia"/>
          <w:sz w:val="36"/>
          <w:szCs w:val="36"/>
        </w:rPr>
        <w:t>年“全国大学生数学建模竞赛”报名表</w:t>
      </w:r>
    </w:p>
    <w:p w:rsidR="008300B5" w:rsidRPr="00F51700" w:rsidRDefault="008300B5" w:rsidP="008300B5">
      <w:pPr>
        <w:spacing w:line="400" w:lineRule="exact"/>
        <w:ind w:firstLineChars="200" w:firstLine="600"/>
        <w:rPr>
          <w:rFonts w:ascii="黑体" w:eastAsia="黑体" w:hAnsi="宋体"/>
          <w:sz w:val="30"/>
          <w:szCs w:val="30"/>
        </w:rPr>
      </w:pPr>
      <w:r w:rsidRPr="00A85A96">
        <w:rPr>
          <w:rFonts w:ascii="黑体" w:eastAsia="黑体" w:hAnsi="宋体" w:hint="eastAsia"/>
          <w:sz w:val="30"/>
          <w:szCs w:val="30"/>
        </w:rPr>
        <w:t>学院：</w:t>
      </w:r>
      <w:r>
        <w:rPr>
          <w:rFonts w:ascii="黑体" w:eastAsia="黑体" w:hAnsi="宋体" w:hint="eastAsia"/>
          <w:sz w:val="30"/>
          <w:szCs w:val="30"/>
        </w:rPr>
        <w:t xml:space="preserve">         （加盖公章）</w:t>
      </w:r>
    </w:p>
    <w:tbl>
      <w:tblPr>
        <w:tblpPr w:leftFromText="180" w:rightFromText="180" w:vertAnchor="page" w:horzAnchor="margin" w:tblpXSpec="center" w:tblpY="3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1440"/>
        <w:gridCol w:w="2808"/>
        <w:gridCol w:w="1440"/>
        <w:gridCol w:w="1440"/>
      </w:tblGrid>
      <w:tr w:rsidR="008300B5" w:rsidRPr="00E00B1B" w:rsidTr="00553296">
        <w:trPr>
          <w:trHeight w:val="630"/>
        </w:trPr>
        <w:tc>
          <w:tcPr>
            <w:tcW w:w="900" w:type="dxa"/>
          </w:tcPr>
          <w:p w:rsidR="008300B5" w:rsidRPr="001038B2" w:rsidRDefault="008300B5" w:rsidP="00553296">
            <w:pPr>
              <w:spacing w:line="400" w:lineRule="exact"/>
              <w:jc w:val="center"/>
              <w:rPr>
                <w:rFonts w:ascii="仿宋_GB2312" w:eastAsia="仿宋_GB2312"/>
                <w:b/>
                <w:sz w:val="28"/>
                <w:szCs w:val="28"/>
              </w:rPr>
            </w:pPr>
            <w:r w:rsidRPr="001038B2">
              <w:rPr>
                <w:rFonts w:ascii="仿宋_GB2312" w:eastAsia="仿宋_GB2312" w:hint="eastAsia"/>
                <w:b/>
                <w:sz w:val="28"/>
                <w:szCs w:val="28"/>
              </w:rPr>
              <w:t>组别</w:t>
            </w:r>
          </w:p>
        </w:tc>
        <w:tc>
          <w:tcPr>
            <w:tcW w:w="1440" w:type="dxa"/>
          </w:tcPr>
          <w:p w:rsidR="008300B5" w:rsidRPr="001038B2" w:rsidRDefault="008300B5" w:rsidP="00553296">
            <w:pPr>
              <w:spacing w:line="400" w:lineRule="exact"/>
              <w:jc w:val="center"/>
              <w:rPr>
                <w:rFonts w:ascii="仿宋_GB2312" w:eastAsia="仿宋_GB2312"/>
                <w:b/>
                <w:sz w:val="28"/>
                <w:szCs w:val="28"/>
              </w:rPr>
            </w:pPr>
            <w:r w:rsidRPr="001038B2">
              <w:rPr>
                <w:rFonts w:ascii="仿宋_GB2312" w:eastAsia="仿宋_GB2312" w:hint="eastAsia"/>
                <w:b/>
                <w:sz w:val="28"/>
                <w:szCs w:val="28"/>
              </w:rPr>
              <w:t>学生姓名</w:t>
            </w:r>
          </w:p>
        </w:tc>
        <w:tc>
          <w:tcPr>
            <w:tcW w:w="2808" w:type="dxa"/>
          </w:tcPr>
          <w:p w:rsidR="008300B5" w:rsidRPr="001038B2" w:rsidRDefault="008300B5" w:rsidP="00553296">
            <w:pPr>
              <w:spacing w:line="400" w:lineRule="exact"/>
              <w:ind w:firstLineChars="248" w:firstLine="697"/>
              <w:rPr>
                <w:rFonts w:ascii="仿宋_GB2312" w:eastAsia="仿宋_GB2312"/>
                <w:b/>
                <w:sz w:val="28"/>
                <w:szCs w:val="28"/>
              </w:rPr>
            </w:pPr>
            <w:r w:rsidRPr="001038B2">
              <w:rPr>
                <w:rFonts w:ascii="仿宋_GB2312" w:eastAsia="仿宋_GB2312" w:hint="eastAsia"/>
                <w:b/>
                <w:sz w:val="28"/>
                <w:szCs w:val="28"/>
              </w:rPr>
              <w:t>专业年级</w:t>
            </w:r>
          </w:p>
        </w:tc>
        <w:tc>
          <w:tcPr>
            <w:tcW w:w="1440" w:type="dxa"/>
          </w:tcPr>
          <w:p w:rsidR="008300B5" w:rsidRPr="001038B2" w:rsidRDefault="008300B5" w:rsidP="00553296">
            <w:pPr>
              <w:spacing w:line="400" w:lineRule="exact"/>
              <w:rPr>
                <w:rFonts w:ascii="仿宋_GB2312" w:eastAsia="仿宋_GB2312"/>
                <w:b/>
                <w:sz w:val="28"/>
                <w:szCs w:val="28"/>
              </w:rPr>
            </w:pPr>
            <w:r w:rsidRPr="001038B2">
              <w:rPr>
                <w:rFonts w:ascii="仿宋_GB2312" w:eastAsia="仿宋_GB2312" w:hint="eastAsia"/>
                <w:b/>
                <w:sz w:val="28"/>
                <w:szCs w:val="28"/>
              </w:rPr>
              <w:t>指导教师</w:t>
            </w:r>
          </w:p>
        </w:tc>
        <w:tc>
          <w:tcPr>
            <w:tcW w:w="1440" w:type="dxa"/>
          </w:tcPr>
          <w:p w:rsidR="008300B5" w:rsidRPr="001038B2" w:rsidRDefault="008300B5" w:rsidP="00553296">
            <w:pPr>
              <w:spacing w:line="400" w:lineRule="exact"/>
              <w:rPr>
                <w:rFonts w:ascii="仿宋_GB2312" w:eastAsia="仿宋_GB2312"/>
                <w:b/>
                <w:sz w:val="28"/>
                <w:szCs w:val="28"/>
              </w:rPr>
            </w:pPr>
            <w:r w:rsidRPr="001038B2">
              <w:rPr>
                <w:rFonts w:ascii="仿宋_GB2312" w:eastAsia="仿宋_GB2312" w:hint="eastAsia"/>
                <w:b/>
                <w:sz w:val="28"/>
                <w:szCs w:val="28"/>
              </w:rPr>
              <w:t>联系电话</w:t>
            </w:r>
          </w:p>
        </w:tc>
      </w:tr>
      <w:tr w:rsidR="008300B5" w:rsidRPr="00D331E4" w:rsidTr="00553296">
        <w:trPr>
          <w:trHeight w:val="456"/>
        </w:trPr>
        <w:tc>
          <w:tcPr>
            <w:tcW w:w="900" w:type="dxa"/>
            <w:vMerge w:val="restart"/>
            <w:vAlign w:val="center"/>
          </w:tcPr>
          <w:p w:rsidR="008300B5" w:rsidRDefault="008300B5" w:rsidP="00553296">
            <w:pPr>
              <w:jc w:val="center"/>
              <w:rPr>
                <w:szCs w:val="21"/>
              </w:rPr>
            </w:pPr>
          </w:p>
        </w:tc>
        <w:tc>
          <w:tcPr>
            <w:tcW w:w="1440" w:type="dxa"/>
            <w:vAlign w:val="center"/>
          </w:tcPr>
          <w:p w:rsidR="008300B5" w:rsidRPr="00D30386" w:rsidRDefault="008300B5" w:rsidP="00553296">
            <w:pPr>
              <w:jc w:val="center"/>
              <w:rPr>
                <w:rFonts w:ascii="宋体" w:hAnsi="宋体"/>
                <w:szCs w:val="21"/>
              </w:rPr>
            </w:pPr>
          </w:p>
        </w:tc>
        <w:tc>
          <w:tcPr>
            <w:tcW w:w="2808" w:type="dxa"/>
            <w:vAlign w:val="center"/>
          </w:tcPr>
          <w:p w:rsidR="008300B5" w:rsidRPr="00D30386" w:rsidRDefault="008300B5" w:rsidP="00553296">
            <w:pPr>
              <w:jc w:val="center"/>
              <w:rPr>
                <w:rFonts w:ascii="宋体" w:hAnsi="宋体"/>
                <w:szCs w:val="21"/>
              </w:rPr>
            </w:pPr>
          </w:p>
        </w:tc>
        <w:tc>
          <w:tcPr>
            <w:tcW w:w="1440" w:type="dxa"/>
            <w:vMerge w:val="restart"/>
            <w:vAlign w:val="center"/>
          </w:tcPr>
          <w:p w:rsidR="008300B5" w:rsidRPr="00D30386" w:rsidRDefault="008300B5" w:rsidP="00553296">
            <w:pPr>
              <w:jc w:val="center"/>
              <w:rPr>
                <w:rFonts w:ascii="宋体" w:hAnsi="宋体"/>
                <w:szCs w:val="21"/>
              </w:rPr>
            </w:pPr>
          </w:p>
        </w:tc>
        <w:tc>
          <w:tcPr>
            <w:tcW w:w="1440" w:type="dxa"/>
            <w:vMerge w:val="restart"/>
            <w:vAlign w:val="center"/>
          </w:tcPr>
          <w:p w:rsidR="008300B5" w:rsidRPr="00D30386" w:rsidRDefault="008300B5" w:rsidP="00553296">
            <w:pPr>
              <w:jc w:val="center"/>
              <w:rPr>
                <w:rFonts w:ascii="宋体" w:hAnsi="宋体"/>
                <w:szCs w:val="21"/>
              </w:rPr>
            </w:pPr>
          </w:p>
        </w:tc>
      </w:tr>
      <w:tr w:rsidR="008300B5" w:rsidRPr="00D331E4" w:rsidTr="00553296">
        <w:trPr>
          <w:trHeight w:val="456"/>
        </w:trPr>
        <w:tc>
          <w:tcPr>
            <w:tcW w:w="900" w:type="dxa"/>
            <w:vMerge/>
            <w:vAlign w:val="center"/>
          </w:tcPr>
          <w:p w:rsidR="008300B5" w:rsidRDefault="008300B5" w:rsidP="00553296">
            <w:pPr>
              <w:jc w:val="center"/>
              <w:rPr>
                <w:szCs w:val="21"/>
              </w:rPr>
            </w:pPr>
          </w:p>
        </w:tc>
        <w:tc>
          <w:tcPr>
            <w:tcW w:w="1440" w:type="dxa"/>
            <w:vAlign w:val="center"/>
          </w:tcPr>
          <w:p w:rsidR="008300B5" w:rsidRDefault="008300B5" w:rsidP="00553296">
            <w:pPr>
              <w:jc w:val="cente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vAlign w:val="center"/>
          </w:tcPr>
          <w:p w:rsidR="008300B5" w:rsidRPr="00D331E4" w:rsidRDefault="008300B5" w:rsidP="00553296">
            <w:pPr>
              <w:jc w:val="center"/>
              <w:rPr>
                <w:szCs w:val="21"/>
              </w:rPr>
            </w:pPr>
          </w:p>
        </w:tc>
      </w:tr>
      <w:tr w:rsidR="008300B5" w:rsidRPr="00D331E4" w:rsidTr="00553296">
        <w:trPr>
          <w:trHeight w:val="456"/>
        </w:trPr>
        <w:tc>
          <w:tcPr>
            <w:tcW w:w="900" w:type="dxa"/>
            <w:vMerge/>
            <w:vAlign w:val="center"/>
          </w:tcPr>
          <w:p w:rsidR="008300B5" w:rsidRDefault="008300B5" w:rsidP="00553296">
            <w:pPr>
              <w:jc w:val="center"/>
              <w:rPr>
                <w:szCs w:val="21"/>
              </w:rPr>
            </w:pPr>
          </w:p>
        </w:tc>
        <w:tc>
          <w:tcPr>
            <w:tcW w:w="1440" w:type="dxa"/>
            <w:vAlign w:val="center"/>
          </w:tcPr>
          <w:p w:rsidR="008300B5" w:rsidRDefault="008300B5" w:rsidP="00553296">
            <w:pPr>
              <w:jc w:val="cente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vAlign w:val="center"/>
          </w:tcPr>
          <w:p w:rsidR="008300B5" w:rsidRPr="00D331E4" w:rsidRDefault="008300B5" w:rsidP="00553296">
            <w:pPr>
              <w:jc w:val="center"/>
              <w:rPr>
                <w:szCs w:val="21"/>
              </w:rPr>
            </w:pPr>
          </w:p>
        </w:tc>
      </w:tr>
      <w:tr w:rsidR="008300B5" w:rsidRPr="00D331E4" w:rsidTr="00553296">
        <w:trPr>
          <w:trHeight w:val="456"/>
        </w:trPr>
        <w:tc>
          <w:tcPr>
            <w:tcW w:w="900" w:type="dxa"/>
            <w:vMerge w:val="restart"/>
            <w:vAlign w:val="center"/>
          </w:tcPr>
          <w:p w:rsidR="008300B5" w:rsidRDefault="008300B5" w:rsidP="00553296">
            <w:pPr>
              <w:jc w:val="center"/>
              <w:rPr>
                <w:szCs w:val="21"/>
              </w:rPr>
            </w:pPr>
          </w:p>
        </w:tc>
        <w:tc>
          <w:tcPr>
            <w:tcW w:w="1440" w:type="dxa"/>
            <w:vAlign w:val="center"/>
          </w:tcPr>
          <w:p w:rsidR="008300B5" w:rsidRPr="00D30386" w:rsidRDefault="008300B5" w:rsidP="00553296">
            <w:pPr>
              <w:jc w:val="center"/>
              <w:rPr>
                <w:rFonts w:ascii="宋体" w:hAnsi="宋体"/>
                <w:szCs w:val="21"/>
              </w:rPr>
            </w:pPr>
          </w:p>
        </w:tc>
        <w:tc>
          <w:tcPr>
            <w:tcW w:w="2808" w:type="dxa"/>
            <w:vAlign w:val="center"/>
          </w:tcPr>
          <w:p w:rsidR="008300B5" w:rsidRPr="00D30386" w:rsidRDefault="008300B5" w:rsidP="00553296">
            <w:pPr>
              <w:jc w:val="center"/>
              <w:rPr>
                <w:rFonts w:ascii="宋体" w:hAnsi="宋体"/>
                <w:szCs w:val="21"/>
              </w:rPr>
            </w:pPr>
          </w:p>
        </w:tc>
        <w:tc>
          <w:tcPr>
            <w:tcW w:w="1440" w:type="dxa"/>
            <w:vMerge w:val="restart"/>
            <w:vAlign w:val="center"/>
          </w:tcPr>
          <w:p w:rsidR="008300B5" w:rsidRPr="00D30386" w:rsidRDefault="008300B5" w:rsidP="00553296">
            <w:pPr>
              <w:jc w:val="center"/>
              <w:rPr>
                <w:rFonts w:ascii="宋体" w:hAnsi="宋体"/>
                <w:szCs w:val="21"/>
              </w:rPr>
            </w:pPr>
          </w:p>
        </w:tc>
        <w:tc>
          <w:tcPr>
            <w:tcW w:w="1440" w:type="dxa"/>
            <w:vMerge w:val="restart"/>
            <w:vAlign w:val="center"/>
          </w:tcPr>
          <w:p w:rsidR="008300B5" w:rsidRPr="00D30386" w:rsidRDefault="008300B5" w:rsidP="00553296">
            <w:pPr>
              <w:jc w:val="center"/>
              <w:rPr>
                <w:rFonts w:ascii="宋体" w:hAnsi="宋体"/>
                <w:szCs w:val="21"/>
              </w:rPr>
            </w:pPr>
          </w:p>
        </w:tc>
      </w:tr>
      <w:tr w:rsidR="008300B5" w:rsidRPr="00D331E4" w:rsidTr="00553296">
        <w:trPr>
          <w:trHeight w:val="456"/>
        </w:trPr>
        <w:tc>
          <w:tcPr>
            <w:tcW w:w="900" w:type="dxa"/>
            <w:vMerge/>
            <w:vAlign w:val="center"/>
          </w:tcPr>
          <w:p w:rsidR="008300B5" w:rsidRPr="00D331E4" w:rsidRDefault="008300B5" w:rsidP="00553296">
            <w:pPr>
              <w:jc w:val="center"/>
              <w:rPr>
                <w:szCs w:val="21"/>
              </w:rPr>
            </w:pPr>
          </w:p>
        </w:tc>
        <w:tc>
          <w:tcPr>
            <w:tcW w:w="1440" w:type="dxa"/>
            <w:vAlign w:val="center"/>
          </w:tcPr>
          <w:p w:rsidR="008300B5" w:rsidRPr="00D331E4" w:rsidRDefault="008300B5" w:rsidP="00553296">
            <w:pPr>
              <w:jc w:val="cente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vAlign w:val="center"/>
          </w:tcPr>
          <w:p w:rsidR="008300B5" w:rsidRPr="00D331E4" w:rsidRDefault="008300B5" w:rsidP="00553296">
            <w:pPr>
              <w:jc w:val="center"/>
              <w:rPr>
                <w:szCs w:val="21"/>
              </w:rPr>
            </w:pPr>
          </w:p>
        </w:tc>
      </w:tr>
      <w:tr w:rsidR="008300B5" w:rsidRPr="00D331E4" w:rsidTr="00553296">
        <w:trPr>
          <w:trHeight w:val="456"/>
        </w:trPr>
        <w:tc>
          <w:tcPr>
            <w:tcW w:w="900" w:type="dxa"/>
            <w:vMerge/>
            <w:vAlign w:val="center"/>
          </w:tcPr>
          <w:p w:rsidR="008300B5" w:rsidRPr="00D331E4" w:rsidRDefault="008300B5" w:rsidP="00553296">
            <w:pPr>
              <w:jc w:val="center"/>
              <w:rPr>
                <w:szCs w:val="21"/>
              </w:rPr>
            </w:pPr>
          </w:p>
        </w:tc>
        <w:tc>
          <w:tcPr>
            <w:tcW w:w="1440" w:type="dxa"/>
            <w:vAlign w:val="center"/>
          </w:tcPr>
          <w:p w:rsidR="008300B5" w:rsidRPr="00D331E4" w:rsidRDefault="008300B5" w:rsidP="00553296">
            <w:pPr>
              <w:jc w:val="cente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vAlign w:val="center"/>
          </w:tcPr>
          <w:p w:rsidR="008300B5" w:rsidRPr="00D331E4" w:rsidRDefault="008300B5" w:rsidP="00553296">
            <w:pPr>
              <w:jc w:val="center"/>
              <w:rPr>
                <w:szCs w:val="21"/>
              </w:rPr>
            </w:pPr>
          </w:p>
        </w:tc>
      </w:tr>
      <w:tr w:rsidR="008300B5" w:rsidRPr="00D331E4" w:rsidTr="00553296">
        <w:trPr>
          <w:trHeight w:val="420"/>
        </w:trPr>
        <w:tc>
          <w:tcPr>
            <w:tcW w:w="900" w:type="dxa"/>
            <w:vMerge w:val="restart"/>
            <w:vAlign w:val="center"/>
          </w:tcPr>
          <w:p w:rsidR="008300B5" w:rsidRDefault="008300B5" w:rsidP="00553296">
            <w:pPr>
              <w:rPr>
                <w:szCs w:val="21"/>
              </w:rPr>
            </w:pPr>
          </w:p>
        </w:tc>
        <w:tc>
          <w:tcPr>
            <w:tcW w:w="1440" w:type="dxa"/>
            <w:vAlign w:val="center"/>
          </w:tcPr>
          <w:p w:rsidR="008300B5" w:rsidRPr="00D30386" w:rsidRDefault="008300B5" w:rsidP="00553296">
            <w:pPr>
              <w:jc w:val="center"/>
              <w:rPr>
                <w:rFonts w:ascii="宋体" w:hAnsi="宋体"/>
                <w:szCs w:val="21"/>
              </w:rPr>
            </w:pPr>
          </w:p>
        </w:tc>
        <w:tc>
          <w:tcPr>
            <w:tcW w:w="2808" w:type="dxa"/>
            <w:vAlign w:val="center"/>
          </w:tcPr>
          <w:p w:rsidR="008300B5" w:rsidRPr="00D30386" w:rsidRDefault="008300B5" w:rsidP="00553296">
            <w:pPr>
              <w:jc w:val="center"/>
              <w:rPr>
                <w:rFonts w:ascii="宋体" w:hAnsi="宋体"/>
                <w:szCs w:val="21"/>
              </w:rPr>
            </w:pPr>
          </w:p>
        </w:tc>
        <w:tc>
          <w:tcPr>
            <w:tcW w:w="1440" w:type="dxa"/>
            <w:vMerge w:val="restart"/>
            <w:vAlign w:val="center"/>
          </w:tcPr>
          <w:p w:rsidR="008300B5" w:rsidRPr="00D30386" w:rsidRDefault="008300B5" w:rsidP="00553296">
            <w:pPr>
              <w:jc w:val="center"/>
              <w:rPr>
                <w:rFonts w:ascii="宋体" w:hAnsi="宋体"/>
                <w:szCs w:val="21"/>
              </w:rPr>
            </w:pPr>
          </w:p>
        </w:tc>
        <w:tc>
          <w:tcPr>
            <w:tcW w:w="1440" w:type="dxa"/>
            <w:vMerge w:val="restart"/>
            <w:vAlign w:val="center"/>
          </w:tcPr>
          <w:p w:rsidR="008300B5" w:rsidRPr="00D30386" w:rsidRDefault="008300B5" w:rsidP="00553296">
            <w:pPr>
              <w:jc w:val="center"/>
              <w:rPr>
                <w:rFonts w:ascii="宋体" w:hAnsi="宋体"/>
                <w:szCs w:val="21"/>
              </w:rPr>
            </w:pPr>
          </w:p>
        </w:tc>
      </w:tr>
      <w:tr w:rsidR="008300B5" w:rsidRPr="00D331E4" w:rsidTr="00553296">
        <w:trPr>
          <w:trHeight w:val="420"/>
        </w:trPr>
        <w:tc>
          <w:tcPr>
            <w:tcW w:w="900" w:type="dxa"/>
            <w:vMerge/>
            <w:vAlign w:val="center"/>
          </w:tcPr>
          <w:p w:rsidR="008300B5" w:rsidRPr="00D331E4" w:rsidRDefault="008300B5" w:rsidP="00553296">
            <w:pPr>
              <w:jc w:val="center"/>
              <w:rPr>
                <w:szCs w:val="21"/>
              </w:rPr>
            </w:pPr>
          </w:p>
        </w:tc>
        <w:tc>
          <w:tcPr>
            <w:tcW w:w="1440" w:type="dxa"/>
            <w:vAlign w:val="center"/>
          </w:tcPr>
          <w:p w:rsidR="008300B5" w:rsidRPr="00D331E4" w:rsidRDefault="008300B5" w:rsidP="00553296">
            <w:pPr>
              <w:jc w:val="cente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tcPr>
          <w:p w:rsidR="008300B5" w:rsidRPr="00D331E4" w:rsidRDefault="008300B5" w:rsidP="00553296">
            <w:pPr>
              <w:jc w:val="center"/>
              <w:rPr>
                <w:szCs w:val="21"/>
              </w:rPr>
            </w:pPr>
          </w:p>
        </w:tc>
      </w:tr>
      <w:tr w:rsidR="008300B5" w:rsidRPr="00D331E4" w:rsidTr="00553296">
        <w:trPr>
          <w:trHeight w:val="420"/>
        </w:trPr>
        <w:tc>
          <w:tcPr>
            <w:tcW w:w="900" w:type="dxa"/>
            <w:vMerge/>
            <w:vAlign w:val="center"/>
          </w:tcPr>
          <w:p w:rsidR="008300B5" w:rsidRPr="00D331E4" w:rsidRDefault="008300B5" w:rsidP="00553296">
            <w:pPr>
              <w:jc w:val="center"/>
              <w:rPr>
                <w:szCs w:val="21"/>
              </w:rPr>
            </w:pPr>
          </w:p>
        </w:tc>
        <w:tc>
          <w:tcPr>
            <w:tcW w:w="1440" w:type="dxa"/>
            <w:vAlign w:val="center"/>
          </w:tcPr>
          <w:p w:rsidR="008300B5" w:rsidRPr="00D331E4" w:rsidRDefault="008300B5" w:rsidP="00553296">
            <w:pPr>
              <w:jc w:val="cente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tcPr>
          <w:p w:rsidR="008300B5" w:rsidRPr="00D331E4" w:rsidRDefault="008300B5" w:rsidP="00553296">
            <w:pPr>
              <w:jc w:val="center"/>
              <w:rPr>
                <w:szCs w:val="21"/>
              </w:rPr>
            </w:pPr>
          </w:p>
        </w:tc>
      </w:tr>
      <w:tr w:rsidR="008300B5" w:rsidRPr="00D331E4" w:rsidTr="00553296">
        <w:trPr>
          <w:trHeight w:val="420"/>
        </w:trPr>
        <w:tc>
          <w:tcPr>
            <w:tcW w:w="900" w:type="dxa"/>
            <w:vMerge w:val="restart"/>
            <w:vAlign w:val="center"/>
          </w:tcPr>
          <w:p w:rsidR="008300B5" w:rsidRPr="00D331E4" w:rsidRDefault="008300B5" w:rsidP="00553296">
            <w:pPr>
              <w:jc w:val="center"/>
              <w:rPr>
                <w:szCs w:val="21"/>
              </w:rPr>
            </w:pPr>
          </w:p>
        </w:tc>
        <w:tc>
          <w:tcPr>
            <w:tcW w:w="1440" w:type="dxa"/>
            <w:vAlign w:val="center"/>
          </w:tcPr>
          <w:p w:rsidR="008300B5" w:rsidRDefault="008300B5" w:rsidP="00553296">
            <w:pP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restart"/>
            <w:vAlign w:val="center"/>
          </w:tcPr>
          <w:p w:rsidR="008300B5" w:rsidRPr="00D331E4" w:rsidRDefault="008300B5" w:rsidP="00553296">
            <w:pPr>
              <w:jc w:val="center"/>
              <w:rPr>
                <w:szCs w:val="21"/>
              </w:rPr>
            </w:pPr>
          </w:p>
        </w:tc>
        <w:tc>
          <w:tcPr>
            <w:tcW w:w="1440" w:type="dxa"/>
            <w:vMerge w:val="restart"/>
          </w:tcPr>
          <w:p w:rsidR="008300B5" w:rsidRPr="00D331E4" w:rsidRDefault="008300B5" w:rsidP="00553296">
            <w:pPr>
              <w:jc w:val="center"/>
              <w:rPr>
                <w:szCs w:val="21"/>
              </w:rPr>
            </w:pPr>
          </w:p>
        </w:tc>
      </w:tr>
      <w:tr w:rsidR="008300B5" w:rsidRPr="00D331E4" w:rsidTr="00553296">
        <w:trPr>
          <w:trHeight w:val="420"/>
        </w:trPr>
        <w:tc>
          <w:tcPr>
            <w:tcW w:w="900" w:type="dxa"/>
            <w:vMerge/>
            <w:vAlign w:val="center"/>
          </w:tcPr>
          <w:p w:rsidR="008300B5" w:rsidRPr="00D331E4" w:rsidRDefault="008300B5" w:rsidP="00553296">
            <w:pPr>
              <w:jc w:val="center"/>
              <w:rPr>
                <w:szCs w:val="21"/>
              </w:rPr>
            </w:pPr>
          </w:p>
        </w:tc>
        <w:tc>
          <w:tcPr>
            <w:tcW w:w="1440" w:type="dxa"/>
            <w:vAlign w:val="center"/>
          </w:tcPr>
          <w:p w:rsidR="008300B5" w:rsidRDefault="008300B5" w:rsidP="00553296">
            <w:pP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tcPr>
          <w:p w:rsidR="008300B5" w:rsidRPr="00D331E4" w:rsidRDefault="008300B5" w:rsidP="00553296">
            <w:pPr>
              <w:jc w:val="center"/>
              <w:rPr>
                <w:szCs w:val="21"/>
              </w:rPr>
            </w:pPr>
          </w:p>
        </w:tc>
      </w:tr>
      <w:tr w:rsidR="008300B5" w:rsidRPr="00D331E4" w:rsidTr="00553296">
        <w:trPr>
          <w:trHeight w:val="420"/>
        </w:trPr>
        <w:tc>
          <w:tcPr>
            <w:tcW w:w="900" w:type="dxa"/>
            <w:vMerge/>
            <w:vAlign w:val="center"/>
          </w:tcPr>
          <w:p w:rsidR="008300B5" w:rsidRPr="00D331E4" w:rsidRDefault="008300B5" w:rsidP="00553296">
            <w:pPr>
              <w:jc w:val="center"/>
              <w:rPr>
                <w:szCs w:val="21"/>
              </w:rPr>
            </w:pPr>
          </w:p>
        </w:tc>
        <w:tc>
          <w:tcPr>
            <w:tcW w:w="1440" w:type="dxa"/>
            <w:vAlign w:val="center"/>
          </w:tcPr>
          <w:p w:rsidR="008300B5" w:rsidRDefault="008300B5" w:rsidP="00553296">
            <w:pP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tcPr>
          <w:p w:rsidR="008300B5" w:rsidRPr="00D331E4" w:rsidRDefault="008300B5" w:rsidP="00553296">
            <w:pPr>
              <w:jc w:val="center"/>
              <w:rPr>
                <w:szCs w:val="21"/>
              </w:rPr>
            </w:pPr>
          </w:p>
        </w:tc>
      </w:tr>
      <w:tr w:rsidR="008300B5" w:rsidRPr="00D331E4" w:rsidTr="00553296">
        <w:trPr>
          <w:trHeight w:val="420"/>
        </w:trPr>
        <w:tc>
          <w:tcPr>
            <w:tcW w:w="900" w:type="dxa"/>
            <w:vMerge w:val="restart"/>
            <w:vAlign w:val="center"/>
          </w:tcPr>
          <w:p w:rsidR="008300B5" w:rsidRPr="00D331E4" w:rsidRDefault="008300B5" w:rsidP="00553296">
            <w:pPr>
              <w:jc w:val="center"/>
              <w:rPr>
                <w:szCs w:val="21"/>
              </w:rPr>
            </w:pPr>
          </w:p>
        </w:tc>
        <w:tc>
          <w:tcPr>
            <w:tcW w:w="1440" w:type="dxa"/>
            <w:vAlign w:val="center"/>
          </w:tcPr>
          <w:p w:rsidR="008300B5" w:rsidRDefault="008300B5" w:rsidP="00553296">
            <w:pP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restart"/>
            <w:vAlign w:val="center"/>
          </w:tcPr>
          <w:p w:rsidR="008300B5" w:rsidRPr="00D331E4" w:rsidRDefault="008300B5" w:rsidP="00553296">
            <w:pPr>
              <w:jc w:val="center"/>
              <w:rPr>
                <w:szCs w:val="21"/>
              </w:rPr>
            </w:pPr>
          </w:p>
        </w:tc>
        <w:tc>
          <w:tcPr>
            <w:tcW w:w="1440" w:type="dxa"/>
            <w:vMerge w:val="restart"/>
          </w:tcPr>
          <w:p w:rsidR="008300B5" w:rsidRPr="00D331E4" w:rsidRDefault="008300B5" w:rsidP="00553296">
            <w:pPr>
              <w:jc w:val="center"/>
              <w:rPr>
                <w:szCs w:val="21"/>
              </w:rPr>
            </w:pPr>
          </w:p>
        </w:tc>
      </w:tr>
      <w:tr w:rsidR="008300B5" w:rsidRPr="00D331E4" w:rsidTr="00553296">
        <w:trPr>
          <w:trHeight w:val="420"/>
        </w:trPr>
        <w:tc>
          <w:tcPr>
            <w:tcW w:w="900" w:type="dxa"/>
            <w:vMerge/>
            <w:vAlign w:val="center"/>
          </w:tcPr>
          <w:p w:rsidR="008300B5" w:rsidRPr="00D331E4" w:rsidRDefault="008300B5" w:rsidP="00553296">
            <w:pPr>
              <w:jc w:val="center"/>
              <w:rPr>
                <w:szCs w:val="21"/>
              </w:rPr>
            </w:pPr>
          </w:p>
        </w:tc>
        <w:tc>
          <w:tcPr>
            <w:tcW w:w="1440" w:type="dxa"/>
            <w:vAlign w:val="center"/>
          </w:tcPr>
          <w:p w:rsidR="008300B5" w:rsidRDefault="008300B5" w:rsidP="00553296">
            <w:pP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tcPr>
          <w:p w:rsidR="008300B5" w:rsidRPr="00D331E4" w:rsidRDefault="008300B5" w:rsidP="00553296">
            <w:pPr>
              <w:jc w:val="center"/>
              <w:rPr>
                <w:szCs w:val="21"/>
              </w:rPr>
            </w:pPr>
          </w:p>
        </w:tc>
      </w:tr>
      <w:tr w:rsidR="008300B5" w:rsidRPr="00D331E4" w:rsidTr="00553296">
        <w:trPr>
          <w:trHeight w:val="420"/>
        </w:trPr>
        <w:tc>
          <w:tcPr>
            <w:tcW w:w="900" w:type="dxa"/>
            <w:vMerge/>
            <w:vAlign w:val="center"/>
          </w:tcPr>
          <w:p w:rsidR="008300B5" w:rsidRPr="00D331E4" w:rsidRDefault="008300B5" w:rsidP="00553296">
            <w:pPr>
              <w:jc w:val="center"/>
              <w:rPr>
                <w:szCs w:val="21"/>
              </w:rPr>
            </w:pPr>
          </w:p>
        </w:tc>
        <w:tc>
          <w:tcPr>
            <w:tcW w:w="1440" w:type="dxa"/>
            <w:vAlign w:val="center"/>
          </w:tcPr>
          <w:p w:rsidR="008300B5" w:rsidRDefault="008300B5" w:rsidP="00553296">
            <w:pPr>
              <w:rPr>
                <w:szCs w:val="21"/>
              </w:rPr>
            </w:pPr>
          </w:p>
        </w:tc>
        <w:tc>
          <w:tcPr>
            <w:tcW w:w="2808" w:type="dxa"/>
            <w:vAlign w:val="center"/>
          </w:tcPr>
          <w:p w:rsidR="008300B5" w:rsidRPr="001806B2" w:rsidRDefault="008300B5" w:rsidP="00553296">
            <w:pPr>
              <w:jc w:val="center"/>
              <w:rPr>
                <w:rFonts w:ascii="宋体" w:hAnsi="宋体"/>
                <w:szCs w:val="21"/>
              </w:rPr>
            </w:pPr>
          </w:p>
        </w:tc>
        <w:tc>
          <w:tcPr>
            <w:tcW w:w="1440" w:type="dxa"/>
            <w:vMerge/>
            <w:vAlign w:val="center"/>
          </w:tcPr>
          <w:p w:rsidR="008300B5" w:rsidRPr="00D331E4" w:rsidRDefault="008300B5" w:rsidP="00553296">
            <w:pPr>
              <w:jc w:val="center"/>
              <w:rPr>
                <w:szCs w:val="21"/>
              </w:rPr>
            </w:pPr>
          </w:p>
        </w:tc>
        <w:tc>
          <w:tcPr>
            <w:tcW w:w="1440" w:type="dxa"/>
            <w:vMerge/>
          </w:tcPr>
          <w:p w:rsidR="008300B5" w:rsidRPr="00D331E4" w:rsidRDefault="008300B5" w:rsidP="00553296">
            <w:pPr>
              <w:jc w:val="center"/>
              <w:rPr>
                <w:szCs w:val="21"/>
              </w:rPr>
            </w:pPr>
          </w:p>
        </w:tc>
      </w:tr>
    </w:tbl>
    <w:p w:rsidR="008300B5" w:rsidRDefault="008300B5" w:rsidP="008300B5">
      <w:pPr>
        <w:spacing w:line="400" w:lineRule="exact"/>
        <w:ind w:firstLineChars="147" w:firstLine="309"/>
      </w:pPr>
    </w:p>
    <w:p w:rsidR="008300B5" w:rsidRPr="00F51700" w:rsidRDefault="008300B5" w:rsidP="008300B5">
      <w:pPr>
        <w:spacing w:line="400" w:lineRule="exact"/>
        <w:ind w:firstLineChars="147" w:firstLine="413"/>
        <w:rPr>
          <w:rFonts w:ascii="仿宋_GB2312" w:eastAsia="仿宋_GB2312" w:hAnsi="宋体"/>
          <w:b/>
          <w:sz w:val="28"/>
          <w:szCs w:val="28"/>
        </w:rPr>
      </w:pPr>
      <w:r w:rsidRPr="00956341">
        <w:rPr>
          <w:rFonts w:ascii="仿宋_GB2312" w:eastAsia="仿宋_GB2312" w:hAnsi="宋体" w:hint="eastAsia"/>
          <w:b/>
          <w:sz w:val="28"/>
          <w:szCs w:val="28"/>
        </w:rPr>
        <w:t>备注：组别分为甲组、乙组，甲组为本科组，乙组为专科组。</w:t>
      </w:r>
    </w:p>
    <w:p w:rsidR="008300B5" w:rsidRDefault="008300B5" w:rsidP="008300B5"/>
    <w:p w:rsidR="008300B5" w:rsidRDefault="008300B5" w:rsidP="008300B5"/>
    <w:p w:rsidR="008300B5" w:rsidRDefault="008300B5" w:rsidP="008300B5"/>
    <w:p w:rsidR="008300B5" w:rsidRDefault="008300B5" w:rsidP="008300B5"/>
    <w:p w:rsidR="008300B5" w:rsidRDefault="008300B5" w:rsidP="008300B5"/>
    <w:p w:rsidR="008300B5" w:rsidRDefault="008300B5" w:rsidP="008300B5"/>
    <w:p w:rsidR="008300B5" w:rsidRDefault="008300B5" w:rsidP="008300B5"/>
    <w:p w:rsidR="008300B5" w:rsidRDefault="008300B5" w:rsidP="008300B5"/>
    <w:p w:rsidR="008300B5" w:rsidRDefault="008300B5" w:rsidP="008300B5"/>
    <w:p w:rsidR="008300B5" w:rsidRDefault="008300B5" w:rsidP="008300B5">
      <w:pPr>
        <w:spacing w:line="300" w:lineRule="auto"/>
        <w:jc w:val="center"/>
      </w:pPr>
    </w:p>
    <w:p w:rsidR="008300B5" w:rsidRPr="009F1579" w:rsidRDefault="008300B5" w:rsidP="008300B5">
      <w:pPr>
        <w:spacing w:line="360" w:lineRule="auto"/>
        <w:rPr>
          <w:rFonts w:ascii="黑体" w:eastAsia="黑体" w:hAnsi="宋体"/>
          <w:sz w:val="30"/>
          <w:szCs w:val="30"/>
        </w:rPr>
      </w:pPr>
      <w:r w:rsidRPr="009F1579">
        <w:rPr>
          <w:rFonts w:ascii="黑体" w:eastAsia="黑体" w:hAnsi="宋体" w:hint="eastAsia"/>
          <w:sz w:val="30"/>
          <w:szCs w:val="30"/>
        </w:rPr>
        <w:lastRenderedPageBreak/>
        <w:t>附件2：</w:t>
      </w:r>
    </w:p>
    <w:p w:rsidR="009A7F3F" w:rsidRDefault="009A7F3F" w:rsidP="009A7F3F">
      <w:pPr>
        <w:spacing w:line="300" w:lineRule="auto"/>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云南省教育厅关于做好2015年全国大学生数学建模竞赛</w:t>
      </w:r>
    </w:p>
    <w:p w:rsidR="009A7F3F" w:rsidRDefault="009A7F3F" w:rsidP="009A7F3F">
      <w:pPr>
        <w:spacing w:line="300" w:lineRule="auto"/>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云南赛区竞赛组织工作的通知</w:t>
      </w:r>
    </w:p>
    <w:p w:rsidR="009A7F3F" w:rsidRDefault="009A7F3F" w:rsidP="009A7F3F">
      <w:pPr>
        <w:spacing w:line="324" w:lineRule="auto"/>
        <w:rPr>
          <w:rFonts w:ascii="方正仿宋_GBK" w:eastAsia="方正仿宋_GBK" w:hAnsi="方正仿宋_GBK" w:cs="方正仿宋_GBK"/>
          <w:b/>
          <w:bCs/>
          <w:sz w:val="28"/>
          <w:szCs w:val="32"/>
        </w:rPr>
      </w:pPr>
      <w:r>
        <w:rPr>
          <w:rFonts w:ascii="方正仿宋_GBK" w:eastAsia="方正仿宋_GBK" w:hAnsi="方正仿宋_GBK" w:cs="方正仿宋_GBK" w:hint="eastAsia"/>
          <w:b/>
          <w:bCs/>
          <w:sz w:val="28"/>
          <w:szCs w:val="32"/>
        </w:rPr>
        <w:t>各高等院校：</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全国大学生数学建模竞赛是一项由教育部主办，面向全国高等学校在校生的大学生竞赛活动。根据全国大学生数学建模竞赛组委会《关于组织2015高教社杯全国大学生数学建模竞赛的通知》（数模竞赛</w:t>
      </w:r>
      <w:r>
        <w:rPr>
          <w:rFonts w:ascii="方正仿宋_GBK" w:eastAsia="方正仿宋_GBK" w:hAnsi="方正仿宋_GBK" w:cs="方正仿宋_GBK" w:hint="eastAsia"/>
          <w:sz w:val="28"/>
          <w:szCs w:val="32"/>
          <w:lang w:val="zh-CN"/>
        </w:rPr>
        <w:t>〔</w:t>
      </w:r>
      <w:r>
        <w:rPr>
          <w:rFonts w:ascii="方正仿宋_GBK" w:eastAsia="方正仿宋_GBK" w:hAnsi="方正仿宋_GBK" w:cs="方正仿宋_GBK" w:hint="eastAsia"/>
          <w:sz w:val="28"/>
          <w:szCs w:val="32"/>
        </w:rPr>
        <w:t>2015</w:t>
      </w:r>
      <w:r>
        <w:rPr>
          <w:rFonts w:ascii="方正仿宋_GBK" w:eastAsia="方正仿宋_GBK" w:hAnsi="方正仿宋_GBK" w:cs="方正仿宋_GBK" w:hint="eastAsia"/>
          <w:sz w:val="28"/>
          <w:szCs w:val="32"/>
          <w:lang w:val="zh-CN"/>
        </w:rPr>
        <w:t>〕</w:t>
      </w:r>
      <w:r>
        <w:rPr>
          <w:rFonts w:ascii="方正仿宋_GBK" w:eastAsia="方正仿宋_GBK" w:hAnsi="方正仿宋_GBK" w:cs="方正仿宋_GBK" w:hint="eastAsia"/>
          <w:sz w:val="28"/>
          <w:szCs w:val="32"/>
        </w:rPr>
        <w:t>01号）要求，为做好云南赛区竞赛组织工作，现将有关事项通知如下:</w:t>
      </w:r>
    </w:p>
    <w:p w:rsidR="009A7F3F" w:rsidRDefault="009A7F3F" w:rsidP="009A7F3F">
      <w:pPr>
        <w:spacing w:line="324" w:lineRule="auto"/>
        <w:ind w:firstLineChars="200" w:firstLine="560"/>
        <w:rPr>
          <w:rFonts w:ascii="方正仿宋_GBK" w:eastAsia="方正仿宋_GBK" w:hAnsi="方正仿宋_GBK" w:cs="方正仿宋_GBK"/>
          <w:b/>
          <w:bCs/>
          <w:sz w:val="28"/>
          <w:szCs w:val="32"/>
        </w:rPr>
      </w:pPr>
      <w:r>
        <w:rPr>
          <w:rFonts w:ascii="方正仿宋_GBK" w:eastAsia="方正仿宋_GBK" w:hAnsi="方正仿宋_GBK" w:cs="方正仿宋_GBK" w:hint="eastAsia"/>
          <w:b/>
          <w:bCs/>
          <w:sz w:val="28"/>
          <w:szCs w:val="32"/>
        </w:rPr>
        <w:t>一、竞赛时间</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2015年9月11日（周五）8：00至14日（周一）8：00。</w:t>
      </w:r>
    </w:p>
    <w:p w:rsidR="009A7F3F" w:rsidRDefault="009A7F3F" w:rsidP="009A7F3F">
      <w:pPr>
        <w:spacing w:line="324" w:lineRule="auto"/>
        <w:rPr>
          <w:rFonts w:ascii="方正仿宋_GBK" w:eastAsia="方正仿宋_GBK" w:hAnsi="方正仿宋_GBK" w:cs="方正仿宋_GBK"/>
          <w:b/>
          <w:bCs/>
          <w:sz w:val="28"/>
          <w:szCs w:val="32"/>
        </w:rPr>
      </w:pPr>
      <w:r>
        <w:rPr>
          <w:rFonts w:ascii="方正仿宋_GBK" w:eastAsia="方正仿宋_GBK" w:hAnsi="方正仿宋_GBK" w:cs="方正仿宋_GBK" w:hint="eastAsia"/>
          <w:b/>
          <w:bCs/>
          <w:sz w:val="28"/>
          <w:szCs w:val="32"/>
        </w:rPr>
        <w:t xml:space="preserve">    二、竞赛报名</w:t>
      </w:r>
    </w:p>
    <w:p w:rsidR="009A7F3F" w:rsidRDefault="009A7F3F" w:rsidP="009A7F3F">
      <w:pPr>
        <w:spacing w:line="324" w:lineRule="auto"/>
        <w:rPr>
          <w:rFonts w:ascii="方正仿宋_GBK" w:eastAsia="方正仿宋_GBK" w:hAnsi="方正仿宋_GBK" w:cs="方正仿宋_GBK"/>
          <w:snapToGrid w:val="0"/>
          <w:sz w:val="28"/>
          <w:shd w:val="clear" w:color="auto" w:fill="FFFFFF"/>
        </w:rPr>
      </w:pPr>
      <w:r>
        <w:rPr>
          <w:rFonts w:ascii="方正仿宋_GBK" w:eastAsia="方正仿宋_GBK" w:hAnsi="方正仿宋_GBK" w:cs="方正仿宋_GBK" w:hint="eastAsia"/>
          <w:snapToGrid w:val="0"/>
          <w:sz w:val="28"/>
          <w:shd w:val="clear" w:color="auto" w:fill="FFFFFF"/>
        </w:rPr>
        <w:t xml:space="preserve">    </w:t>
      </w:r>
      <w:r>
        <w:rPr>
          <w:rFonts w:ascii="方正仿宋_GBK" w:eastAsia="方正仿宋_GBK" w:hAnsi="方正仿宋_GBK" w:cs="方正仿宋_GBK" w:hint="eastAsia"/>
          <w:b/>
          <w:bCs/>
          <w:snapToGrid w:val="0"/>
          <w:sz w:val="28"/>
          <w:shd w:val="clear" w:color="auto" w:fill="FFFFFF"/>
        </w:rPr>
        <w:t xml:space="preserve"> （一）报名要求</w:t>
      </w:r>
    </w:p>
    <w:p w:rsidR="009A7F3F" w:rsidRDefault="009A7F3F" w:rsidP="009A7F3F">
      <w:pPr>
        <w:spacing w:line="324" w:lineRule="auto"/>
        <w:ind w:firstLineChars="150" w:firstLine="42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1.全国大学生数学建模竞赛分为本科组和专科组进行。本科学生（含一本、二本和三本）必须参加本科组竞赛,不能参加专科组竞赛。专科（高职高专）学生一般参加专科组竞赛,也可参加本科组竞赛，无论参加哪组竞赛，均必须在报名时确定，报名截止后不能再更改报名组别。同一参赛队的学生必须来自同一所学校（同一法人单位）。同一法人单位必须以相同的学校名称报名参赛，不能以院系、校区名称参赛（具有独立法人资格者除外）。</w:t>
      </w:r>
    </w:p>
    <w:p w:rsidR="009A7F3F" w:rsidRDefault="009A7F3F" w:rsidP="009A7F3F">
      <w:pPr>
        <w:widowControl/>
        <w:wordWrap w:val="0"/>
        <w:snapToGrid w:val="0"/>
        <w:spacing w:line="360" w:lineRule="auto"/>
        <w:ind w:firstLineChars="200" w:firstLine="560"/>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2.各院校参赛的队数不作上限要求。为扩大竞赛的受益面，本科院校学生人数在万人以上的参赛队数至少在30个队以上，5000至10000人的参赛队至少在15个队以上，5000人以下的参赛队至少在10个队以上；专科</w:t>
      </w:r>
      <w:r>
        <w:rPr>
          <w:rFonts w:ascii="方正仿宋_GBK" w:eastAsia="方正仿宋_GBK" w:hAnsi="方正仿宋_GBK" w:cs="方正仿宋_GBK" w:hint="eastAsia"/>
          <w:sz w:val="28"/>
          <w:szCs w:val="32"/>
        </w:rPr>
        <w:lastRenderedPageBreak/>
        <w:t>学院校根据本校情况确定参赛队。参赛队数达标将作为评选云南赛区优秀组织奖的必要条件。</w:t>
      </w:r>
    </w:p>
    <w:p w:rsidR="009A7F3F" w:rsidRDefault="009A7F3F" w:rsidP="009A7F3F">
      <w:pPr>
        <w:widowControl/>
        <w:wordWrap w:val="0"/>
        <w:snapToGrid w:val="0"/>
        <w:spacing w:line="360" w:lineRule="auto"/>
        <w:ind w:firstLineChars="200" w:firstLine="560"/>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3.报名时，鼓励不填写指导教师。“指导教师”的署名形式，同一所院校只能采用下列两种方法之一：</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（1）参赛队均不填写指导教师，或均填写集体名称（如“教练组”等）。</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（2）参赛队均填写指导教师姓名（每队仅限一人）。</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4.请各参赛高校认真阅读《全国大学生数学建模竞赛报名和参赛须知》（附件2），并在8月28日内把《参赛信息表》（附件3）电子档发送到赛区组委会邮箱（</w:t>
      </w:r>
      <w:r>
        <w:rPr>
          <w:rFonts w:ascii="方正仿宋_GBK" w:eastAsia="方正仿宋_GBK" w:hAnsi="方正仿宋_GBK" w:cs="方正仿宋_GBK" w:hint="eastAsia"/>
          <w:sz w:val="28"/>
          <w:szCs w:val="28"/>
        </w:rPr>
        <w:t>576743370@qq.com）</w:t>
      </w:r>
      <w:r>
        <w:rPr>
          <w:rFonts w:ascii="方正仿宋_GBK" w:eastAsia="方正仿宋_GBK" w:hAnsi="方正仿宋_GBK" w:cs="方正仿宋_GBK" w:hint="eastAsia"/>
          <w:sz w:val="28"/>
          <w:szCs w:val="32"/>
        </w:rPr>
        <w:t>。</w:t>
      </w:r>
    </w:p>
    <w:p w:rsidR="009A7F3F" w:rsidRDefault="009A7F3F" w:rsidP="009A7F3F">
      <w:pPr>
        <w:spacing w:line="324" w:lineRule="auto"/>
        <w:rPr>
          <w:rFonts w:ascii="方正仿宋_GBK" w:eastAsia="方正仿宋_GBK" w:hAnsi="方正仿宋_GBK" w:cs="方正仿宋_GBK"/>
          <w:snapToGrid w:val="0"/>
          <w:sz w:val="28"/>
          <w:shd w:val="clear" w:color="auto" w:fill="FFFFFF"/>
        </w:rPr>
      </w:pPr>
      <w:r>
        <w:rPr>
          <w:rFonts w:ascii="方正仿宋_GBK" w:eastAsia="方正仿宋_GBK" w:hAnsi="方正仿宋_GBK" w:cs="方正仿宋_GBK" w:hint="eastAsia"/>
          <w:snapToGrid w:val="0"/>
          <w:sz w:val="28"/>
          <w:shd w:val="clear" w:color="auto" w:fill="FFFFFF"/>
        </w:rPr>
        <w:t xml:space="preserve">   </w:t>
      </w:r>
      <w:r>
        <w:rPr>
          <w:rFonts w:ascii="方正仿宋_GBK" w:eastAsia="方正仿宋_GBK" w:hAnsi="方正仿宋_GBK" w:cs="方正仿宋_GBK" w:hint="eastAsia"/>
          <w:b/>
          <w:bCs/>
          <w:snapToGrid w:val="0"/>
          <w:sz w:val="28"/>
          <w:shd w:val="clear" w:color="auto" w:fill="FFFFFF"/>
        </w:rPr>
        <w:t xml:space="preserve"> （二）报名程序</w:t>
      </w:r>
    </w:p>
    <w:p w:rsidR="009A7F3F" w:rsidRDefault="009A7F3F" w:rsidP="009A7F3F">
      <w:pPr>
        <w:spacing w:line="324" w:lineRule="auto"/>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1.各参赛院校于</w:t>
      </w:r>
      <w:r>
        <w:rPr>
          <w:rFonts w:ascii="方正仿宋_GBK" w:eastAsia="方正仿宋_GBK" w:hAnsi="方正仿宋_GBK" w:cs="方正仿宋_GBK" w:hint="eastAsia"/>
          <w:b/>
          <w:bCs/>
          <w:sz w:val="28"/>
          <w:szCs w:val="32"/>
        </w:rPr>
        <w:t>2015年6月30日以前</w:t>
      </w:r>
      <w:r>
        <w:rPr>
          <w:rFonts w:ascii="方正仿宋_GBK" w:eastAsia="方正仿宋_GBK" w:hAnsi="方正仿宋_GBK" w:cs="方正仿宋_GBK" w:hint="eastAsia"/>
          <w:sz w:val="28"/>
          <w:szCs w:val="32"/>
        </w:rPr>
        <w:t>，向云南赛区组委会办公室报送《参赛院校报名表》（附件4），并缴纳报名费。每个参赛队报名费与去年相同，由各参赛院校统一以现金或转账方式缴纳。通过银行转账时，请注明：××××校（院）2015数学建模竞赛报名费。</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户  名：云南师范大学 </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开户行：中国银行昆明市呈贡支行</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账 号：137212475064</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2.各参赛院校务必于</w:t>
      </w:r>
      <w:r>
        <w:rPr>
          <w:rFonts w:ascii="方正仿宋_GBK" w:eastAsia="方正仿宋_GBK" w:hAnsi="方正仿宋_GBK" w:cs="方正仿宋_GBK" w:hint="eastAsia"/>
          <w:b/>
          <w:sz w:val="28"/>
          <w:szCs w:val="32"/>
        </w:rPr>
        <w:t>2015年8月28日以前</w:t>
      </w:r>
      <w:r>
        <w:rPr>
          <w:rFonts w:ascii="方正仿宋_GBK" w:eastAsia="方正仿宋_GBK" w:hAnsi="方正仿宋_GBK" w:cs="方正仿宋_GBK" w:hint="eastAsia"/>
          <w:sz w:val="28"/>
          <w:szCs w:val="32"/>
        </w:rPr>
        <w:t>，完成参赛队的网络报名工作，参赛队信息以网络报名为准，过期不再接受报名。具体网报操作流程（见附件5）。</w:t>
      </w:r>
    </w:p>
    <w:p w:rsidR="009A7F3F" w:rsidRDefault="009A7F3F" w:rsidP="009A7F3F">
      <w:pPr>
        <w:spacing w:line="324" w:lineRule="auto"/>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lastRenderedPageBreak/>
        <w:t>（报名网址：http://www.saikr.com/cumcmyn）。</w:t>
      </w:r>
    </w:p>
    <w:p w:rsidR="009A7F3F" w:rsidRDefault="009A7F3F" w:rsidP="009A7F3F">
      <w:pPr>
        <w:autoSpaceDN w:val="0"/>
        <w:spacing w:line="500" w:lineRule="atLeast"/>
        <w:ind w:firstLine="640"/>
        <w:rPr>
          <w:rFonts w:ascii="方正仿宋_GBK" w:eastAsia="方正仿宋_GBK" w:hAnsi="方正仿宋_GBK" w:cs="方正仿宋_GBK"/>
          <w:b/>
          <w:bCs/>
          <w:sz w:val="28"/>
        </w:rPr>
      </w:pPr>
      <w:r>
        <w:rPr>
          <w:rFonts w:ascii="方正仿宋_GBK" w:eastAsia="方正仿宋_GBK" w:hAnsi="方正仿宋_GBK" w:cs="方正仿宋_GBK" w:hint="eastAsia"/>
          <w:b/>
          <w:bCs/>
          <w:sz w:val="28"/>
        </w:rPr>
        <w:t>三、竞赛规则</w:t>
      </w:r>
    </w:p>
    <w:p w:rsidR="009A7F3F" w:rsidRDefault="009A7F3F" w:rsidP="009A7F3F">
      <w:pPr>
        <w:shd w:val="solid" w:color="FFFFFF" w:fill="auto"/>
        <w:autoSpaceDN w:val="0"/>
        <w:spacing w:line="360" w:lineRule="auto"/>
        <w:ind w:firstLineChars="200" w:firstLine="560"/>
        <w:jc w:val="left"/>
        <w:rPr>
          <w:rFonts w:ascii="方正仿宋_GBK" w:eastAsia="方正仿宋_GBK" w:hAnsi="方正仿宋_GBK" w:cs="方正仿宋_GBK"/>
          <w:sz w:val="28"/>
        </w:rPr>
      </w:pPr>
      <w:r>
        <w:rPr>
          <w:rFonts w:ascii="方正仿宋_GBK" w:eastAsia="方正仿宋_GBK" w:hAnsi="方正仿宋_GBK" w:cs="方正仿宋_GBK" w:hint="eastAsia"/>
          <w:sz w:val="28"/>
        </w:rPr>
        <w:t>（一）竞赛题目由全国组委会统一命题；赛题将于竞赛开始时在至少3个网站上公布（http://www.mcm.edu.cn等），不邮寄书面题目。请所有参赛同学在竞赛开始前认真阅读和理解《全国大学生数学建模竞赛章程》（2008年修订版，可从http://mcm.edu.cn下载）、《全国大学生数学建模竞赛参赛规则》（见附件6），严格按照竞赛章程、规则参赛。</w:t>
      </w:r>
    </w:p>
    <w:p w:rsidR="009A7F3F" w:rsidRDefault="009A7F3F" w:rsidP="009A7F3F">
      <w:pPr>
        <w:autoSpaceDN w:val="0"/>
        <w:spacing w:line="500" w:lineRule="atLeast"/>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rPr>
        <w:t>（二）</w:t>
      </w:r>
      <w:r>
        <w:rPr>
          <w:rFonts w:ascii="方正仿宋_GBK" w:eastAsia="方正仿宋_GBK" w:hAnsi="方正仿宋_GBK" w:cs="方正仿宋_GBK" w:hint="eastAsia"/>
          <w:sz w:val="28"/>
          <w:szCs w:val="28"/>
        </w:rPr>
        <w:t xml:space="preserve">竞赛论文格式要求。请严格按照《全国大学生数学建模竞赛论文格式规范》（见附件7）要求进行。 </w:t>
      </w:r>
    </w:p>
    <w:p w:rsidR="009A7F3F" w:rsidRDefault="009A7F3F" w:rsidP="009A7F3F">
      <w:pPr>
        <w:autoSpaceDN w:val="0"/>
        <w:spacing w:line="500" w:lineRule="atLeast"/>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rPr>
        <w:t>（三）</w:t>
      </w:r>
      <w:r>
        <w:rPr>
          <w:rFonts w:ascii="方正仿宋_GBK" w:eastAsia="方正仿宋_GBK" w:hAnsi="方正仿宋_GBK" w:cs="方正仿宋_GBK" w:hint="eastAsia"/>
          <w:sz w:val="28"/>
          <w:szCs w:val="28"/>
        </w:rPr>
        <w:t>竞赛材料报送。</w:t>
      </w:r>
    </w:p>
    <w:p w:rsidR="009A7F3F" w:rsidRDefault="009A7F3F" w:rsidP="009A7F3F">
      <w:pPr>
        <w:pStyle w:val="2"/>
        <w:ind w:firstLineChars="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1.报全国组委会要求</w:t>
      </w:r>
    </w:p>
    <w:p w:rsidR="009A7F3F" w:rsidRDefault="009A7F3F" w:rsidP="009A7F3F">
      <w:pPr>
        <w:pStyle w:val="2"/>
        <w:ind w:firstLineChars="0"/>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在竞赛结束后，各参赛队必须将电子版论文严格按要求以电子邮件附件的方式，用本队论文编号作为邮件主题发送到全国组委会指定的论文收集邮箱（cumcm.solutions@vip.163.com）。</w:t>
      </w:r>
    </w:p>
    <w:p w:rsidR="009A7F3F" w:rsidRDefault="009A7F3F" w:rsidP="009A7F3F">
      <w:pPr>
        <w:autoSpaceDN w:val="0"/>
        <w:spacing w:line="500" w:lineRule="atLeast"/>
        <w:ind w:firstLine="42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 xml:space="preserve"> 论文编号方法按照《全国大学生数学建模竞赛报名和参赛须知》（附件2）要求进行，各学校编号查阅《云南赛区学校编号分配表》（附件8）。</w:t>
      </w:r>
    </w:p>
    <w:p w:rsidR="009A7F3F" w:rsidRDefault="009A7F3F" w:rsidP="009A7F3F">
      <w:pPr>
        <w:autoSpaceDN w:val="0"/>
        <w:spacing w:line="500" w:lineRule="atLeast"/>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2.报赛区组委会要求</w:t>
      </w:r>
    </w:p>
    <w:p w:rsidR="009A7F3F" w:rsidRDefault="009A7F3F" w:rsidP="009A7F3F">
      <w:pPr>
        <w:autoSpaceDN w:val="0"/>
        <w:spacing w:line="500" w:lineRule="atLeast"/>
        <w:ind w:firstLine="640"/>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（1）电子文档报送：</w:t>
      </w:r>
      <w:r>
        <w:rPr>
          <w:rFonts w:ascii="方正仿宋_GBK" w:eastAsia="方正仿宋_GBK" w:hAnsi="方正仿宋_GBK" w:cs="方正仿宋_GBK" w:hint="eastAsia"/>
          <w:sz w:val="28"/>
          <w:szCs w:val="28"/>
        </w:rPr>
        <w:t>各参赛高校必须在9月14日上午10时前把添加过题号的</w:t>
      </w:r>
      <w:r>
        <w:rPr>
          <w:rFonts w:ascii="方正仿宋_GBK" w:eastAsia="方正仿宋_GBK" w:hAnsi="方正仿宋_GBK" w:cs="方正仿宋_GBK" w:hint="eastAsia"/>
          <w:sz w:val="28"/>
          <w:szCs w:val="32"/>
        </w:rPr>
        <w:t>参赛信息表（附件3）、参赛统计表（附件9）、</w:t>
      </w:r>
      <w:r>
        <w:rPr>
          <w:rFonts w:ascii="方正仿宋_GBK" w:eastAsia="方正仿宋_GBK" w:hAnsi="方正仿宋_GBK" w:cs="方正仿宋_GBK" w:hint="eastAsia"/>
          <w:sz w:val="28"/>
          <w:szCs w:val="28"/>
        </w:rPr>
        <w:t>竞赛论文（包括附录、程序）电子文档以电子邮件（576743370@qq.com ）或QQ（576743370）在线方式发送给赛区组委会。</w:t>
      </w:r>
    </w:p>
    <w:p w:rsidR="009A7F3F" w:rsidRDefault="009A7F3F" w:rsidP="009A7F3F">
      <w:pPr>
        <w:autoSpaceDN w:val="0"/>
        <w:spacing w:line="500" w:lineRule="atLeast"/>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lastRenderedPageBreak/>
        <w:t>（2）纸质文档报送：</w:t>
      </w:r>
      <w:r>
        <w:rPr>
          <w:rFonts w:ascii="方正仿宋_GBK" w:eastAsia="方正仿宋_GBK" w:hAnsi="方正仿宋_GBK" w:cs="方正仿宋_GBK" w:hint="eastAsia"/>
          <w:sz w:val="28"/>
          <w:szCs w:val="28"/>
        </w:rPr>
        <w:t>各高校在9月14日中午12时前把添加过题号的</w:t>
      </w:r>
      <w:r>
        <w:rPr>
          <w:rFonts w:ascii="方正仿宋_GBK" w:eastAsia="方正仿宋_GBK" w:hAnsi="方正仿宋_GBK" w:cs="方正仿宋_GBK" w:hint="eastAsia"/>
          <w:sz w:val="28"/>
          <w:szCs w:val="32"/>
        </w:rPr>
        <w:t>参赛信息表（附件3）、参赛统计表（附件9）、</w:t>
      </w:r>
      <w:r>
        <w:rPr>
          <w:rFonts w:ascii="方正仿宋_GBK" w:eastAsia="方正仿宋_GBK" w:hAnsi="方正仿宋_GBK" w:cs="方正仿宋_GBK" w:hint="eastAsia"/>
          <w:sz w:val="28"/>
          <w:szCs w:val="28"/>
        </w:rPr>
        <w:t>竞赛论文（包括附录、程序）打印稿，送至（在昆高校）或邮寄（非在昆高校）赛区组委会要求地点，即：</w:t>
      </w:r>
    </w:p>
    <w:p w:rsidR="009A7F3F" w:rsidRDefault="009A7F3F" w:rsidP="009A7F3F">
      <w:pPr>
        <w:autoSpaceDN w:val="0"/>
        <w:spacing w:line="500" w:lineRule="atLeast"/>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呈贡大学城高校交卷地点：</w:t>
      </w:r>
      <w:r>
        <w:rPr>
          <w:rFonts w:ascii="方正仿宋_GBK" w:eastAsia="方正仿宋_GBK" w:hAnsi="方正仿宋_GBK" w:cs="方正仿宋_GBK" w:hint="eastAsia"/>
          <w:sz w:val="28"/>
          <w:szCs w:val="28"/>
        </w:rPr>
        <w:t>云南师范大学呈贡校区数学学院（东区，同析4号楼）209室。</w:t>
      </w:r>
    </w:p>
    <w:p w:rsidR="009A7F3F" w:rsidRDefault="009A7F3F" w:rsidP="009A7F3F">
      <w:pPr>
        <w:autoSpaceDN w:val="0"/>
        <w:spacing w:line="500" w:lineRule="atLeast"/>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b/>
          <w:bCs/>
          <w:sz w:val="28"/>
          <w:szCs w:val="28"/>
        </w:rPr>
        <w:t>昆明主城区及其它高校交卷地点：</w:t>
      </w:r>
      <w:r>
        <w:rPr>
          <w:rFonts w:ascii="方正仿宋_GBK" w:eastAsia="方正仿宋_GBK" w:hAnsi="方正仿宋_GBK" w:cs="方正仿宋_GBK" w:hint="eastAsia"/>
          <w:sz w:val="28"/>
          <w:szCs w:val="28"/>
        </w:rPr>
        <w:t>云南省教育厅高等教育处912室。</w:t>
      </w:r>
    </w:p>
    <w:p w:rsidR="009A7F3F" w:rsidRDefault="009A7F3F" w:rsidP="009A7F3F">
      <w:pPr>
        <w:autoSpaceDN w:val="0"/>
        <w:spacing w:line="500" w:lineRule="atLeast"/>
        <w:ind w:firstLine="640"/>
        <w:rPr>
          <w:rFonts w:ascii="方正仿宋_GBK" w:eastAsia="方正仿宋_GBK" w:hAnsi="方正仿宋_GBK" w:cs="方正仿宋_GBK"/>
          <w:bCs/>
          <w:sz w:val="28"/>
          <w:szCs w:val="28"/>
        </w:rPr>
      </w:pPr>
      <w:r>
        <w:rPr>
          <w:rFonts w:ascii="方正仿宋_GBK" w:eastAsia="方正仿宋_GBK" w:hAnsi="方正仿宋_GBK" w:cs="方正仿宋_GBK" w:hint="eastAsia"/>
          <w:b/>
          <w:bCs/>
          <w:sz w:val="28"/>
          <w:szCs w:val="28"/>
        </w:rPr>
        <w:t>非在昆高校交卷：</w:t>
      </w:r>
      <w:r>
        <w:rPr>
          <w:rFonts w:ascii="方正仿宋_GBK" w:eastAsia="方正仿宋_GBK" w:hAnsi="方正仿宋_GBK" w:cs="方正仿宋_GBK" w:hint="eastAsia"/>
          <w:bCs/>
          <w:sz w:val="28"/>
          <w:szCs w:val="28"/>
        </w:rPr>
        <w:t>以特快专递方式寄给赛区组委会（地址：昆明市</w:t>
      </w:r>
      <w:r>
        <w:rPr>
          <w:rFonts w:ascii="方正仿宋_GBK" w:eastAsia="方正仿宋_GBK" w:hAnsi="方正仿宋_GBK" w:cs="方正仿宋_GBK" w:hint="eastAsia"/>
          <w:sz w:val="28"/>
          <w:szCs w:val="28"/>
        </w:rPr>
        <w:t>呈贡区雨花片区1号云</w:t>
      </w:r>
      <w:r>
        <w:rPr>
          <w:rFonts w:ascii="方正仿宋_GBK" w:eastAsia="方正仿宋_GBK" w:hAnsi="方正仿宋_GBK" w:cs="方正仿宋_GBK" w:hint="eastAsia"/>
          <w:bCs/>
          <w:sz w:val="28"/>
          <w:szCs w:val="28"/>
        </w:rPr>
        <w:t>南师范大学生命科学学院，</w:t>
      </w:r>
      <w:r>
        <w:rPr>
          <w:rFonts w:ascii="方正仿宋_GBK" w:eastAsia="方正仿宋_GBK" w:hAnsi="方正仿宋_GBK" w:cs="方正仿宋_GBK" w:hint="eastAsia"/>
          <w:sz w:val="28"/>
          <w:szCs w:val="28"/>
        </w:rPr>
        <w:t>邮编：650500</w:t>
      </w:r>
      <w:r>
        <w:rPr>
          <w:rFonts w:ascii="方正仿宋_GBK" w:eastAsia="方正仿宋_GBK" w:hAnsi="方正仿宋_GBK" w:cs="方正仿宋_GBK" w:hint="eastAsia"/>
          <w:bCs/>
          <w:sz w:val="28"/>
          <w:szCs w:val="28"/>
        </w:rPr>
        <w:t>，收件人：金朝光），时间以邮戳为准。</w:t>
      </w:r>
    </w:p>
    <w:p w:rsidR="009A7F3F" w:rsidRDefault="009A7F3F" w:rsidP="009A7F3F">
      <w:pPr>
        <w:spacing w:line="324" w:lineRule="auto"/>
        <w:ind w:firstLineChars="200" w:firstLine="560"/>
        <w:rPr>
          <w:rFonts w:ascii="方正仿宋_GBK" w:eastAsia="方正仿宋_GBK" w:hAnsi="方正仿宋_GBK" w:cs="方正仿宋_GBK"/>
          <w:b/>
          <w:bCs/>
          <w:snapToGrid w:val="0"/>
          <w:sz w:val="28"/>
          <w:shd w:val="clear" w:color="auto" w:fill="FFFFFF"/>
        </w:rPr>
      </w:pPr>
      <w:r>
        <w:rPr>
          <w:rFonts w:ascii="方正仿宋_GBK" w:eastAsia="方正仿宋_GBK" w:hAnsi="方正仿宋_GBK" w:cs="方正仿宋_GBK" w:hint="eastAsia"/>
          <w:b/>
          <w:bCs/>
          <w:snapToGrid w:val="0"/>
          <w:sz w:val="28"/>
          <w:shd w:val="clear" w:color="auto" w:fill="FFFFFF"/>
        </w:rPr>
        <w:t>四、阅卷与评奖</w:t>
      </w:r>
    </w:p>
    <w:p w:rsidR="009A7F3F" w:rsidRDefault="009A7F3F" w:rsidP="009A7F3F">
      <w:pPr>
        <w:autoSpaceDN w:val="0"/>
        <w:spacing w:line="500" w:lineRule="atLeast"/>
        <w:ind w:firstLine="640"/>
        <w:rPr>
          <w:rFonts w:ascii="方正仿宋_GBK" w:eastAsia="方正仿宋_GBK" w:hAnsi="方正仿宋_GBK" w:cs="方正仿宋_GBK"/>
          <w:sz w:val="28"/>
        </w:rPr>
      </w:pPr>
      <w:r>
        <w:rPr>
          <w:rFonts w:ascii="方正仿宋_GBK" w:eastAsia="方正仿宋_GBK" w:hAnsi="方正仿宋_GBK" w:cs="方正仿宋_GBK" w:hint="eastAsia"/>
          <w:sz w:val="28"/>
        </w:rPr>
        <w:t>（一）阅卷。根据《全国大学生数学建模竞赛云南赛区阅卷专家聘任办法》（试行）的有关要求，2015年阅卷教师将从各校推荐的阅卷教师专家库中直接聘用，各校如有调整可继续向组委会推荐教师进入阅卷教师专家库(阅卷教师推荐表可在云南省大学生数学建模竞赛平台上下载)。根据全国大学生数学建模竞赛组委通知，</w:t>
      </w:r>
      <w:r>
        <w:rPr>
          <w:rFonts w:ascii="方正仿宋_GBK" w:eastAsia="方正仿宋_GBK" w:hAnsi="方正仿宋_GBK" w:cs="方正仿宋_GBK" w:hint="eastAsia"/>
          <w:b/>
          <w:bCs/>
          <w:sz w:val="28"/>
        </w:rPr>
        <w:t>我赛区今年继续</w:t>
      </w:r>
      <w:r>
        <w:rPr>
          <w:rFonts w:ascii="方正仿宋_GBK" w:eastAsia="方正仿宋_GBK" w:hAnsi="方正仿宋_GBK" w:cs="方正仿宋_GBK" w:hint="eastAsia"/>
          <w:b/>
          <w:sz w:val="28"/>
        </w:rPr>
        <w:t>对拟授省级一等奖以上的参赛队进行答辩，在答辩过程中一旦发现有抄袭或非学生独立完成的行为，赛区组委会将取消其获奖资格，并通报批评。</w:t>
      </w:r>
    </w:p>
    <w:p w:rsidR="009A7F3F" w:rsidRDefault="009A7F3F" w:rsidP="009A7F3F">
      <w:pPr>
        <w:autoSpaceDN w:val="0"/>
        <w:spacing w:line="500" w:lineRule="atLeast"/>
        <w:ind w:firstLine="640"/>
        <w:rPr>
          <w:rFonts w:ascii="方正仿宋_GBK" w:eastAsia="方正仿宋_GBK" w:hAnsi="方正仿宋_GBK" w:cs="方正仿宋_GBK"/>
          <w:sz w:val="28"/>
        </w:rPr>
      </w:pPr>
      <w:r>
        <w:rPr>
          <w:rFonts w:ascii="方正仿宋_GBK" w:eastAsia="方正仿宋_GBK" w:hAnsi="方正仿宋_GBK" w:cs="方正仿宋_GBK" w:hint="eastAsia"/>
          <w:sz w:val="28"/>
        </w:rPr>
        <w:t>（二）评奖。赛区组委会将根据全国组委会下发的名额，从评阅论文中评选出送全国组委会评阅的论文（比例不超过10%），以不超过8%的比率评选出省一等奖，不超过14%的比率评选出省二等奖，不超过18%的比</w:t>
      </w:r>
      <w:r>
        <w:rPr>
          <w:rFonts w:ascii="方正仿宋_GBK" w:eastAsia="方正仿宋_GBK" w:hAnsi="方正仿宋_GBK" w:cs="方正仿宋_GBK" w:hint="eastAsia"/>
          <w:sz w:val="28"/>
        </w:rPr>
        <w:lastRenderedPageBreak/>
        <w:t>率评选出省三等奖，其余凡论文合格者均可获得成功参赛证书（非奖状）。对广泛发动学生参赛、积极扩大竞赛受益面，组织工作严谨、参赛队数达标、竞赛成绩好的学校，将颁发云南赛区优秀组织奖。</w:t>
      </w:r>
    </w:p>
    <w:p w:rsidR="009A7F3F" w:rsidRDefault="009A7F3F" w:rsidP="009A7F3F">
      <w:pPr>
        <w:autoSpaceDN w:val="0"/>
        <w:spacing w:line="500" w:lineRule="atLeast"/>
        <w:ind w:firstLine="640"/>
        <w:rPr>
          <w:rFonts w:ascii="方正仿宋_GBK" w:eastAsia="方正仿宋_GBK" w:hAnsi="方正仿宋_GBK" w:cs="方正仿宋_GBK"/>
          <w:b/>
          <w:bCs/>
          <w:color w:val="FF0000"/>
          <w:sz w:val="28"/>
        </w:rPr>
      </w:pPr>
      <w:r>
        <w:rPr>
          <w:rFonts w:ascii="方正仿宋_GBK" w:eastAsia="方正仿宋_GBK" w:hAnsi="方正仿宋_GBK" w:cs="方正仿宋_GBK" w:hint="eastAsia"/>
          <w:b/>
          <w:bCs/>
          <w:sz w:val="28"/>
        </w:rPr>
        <w:t>五、其他事项</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一）全国大学生数学建模竞赛是实施素质教育的重要举措,对于培养学生创新意识及应用数学方法和计算机技术解决实际问题的能力具有重要意义。各高校要进一步提高认识，积极参赛，特别是综合类、理工类、师范类和财经类院校，以及高职高专院校和有条件的独立学院，要高度重视此项工作，积极参与，促进大学数学类课程改革。</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（二）相关附件不随文印发，请登录云南省学生数学建模竞赛QQ群（群号：430150004）文件共享模块下载。其他未尽事宜，请与云南赛区组委会办公室联系。</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联系人：李锋（电话：13708761605）</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金朝光（电话：13708890812）</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组委会公共邮箱：ynshxjm2010@163.com </w:t>
      </w:r>
    </w:p>
    <w:p w:rsidR="009A7F3F" w:rsidRDefault="009A7F3F" w:rsidP="009A7F3F">
      <w:pPr>
        <w:spacing w:line="324" w:lineRule="auto"/>
        <w:ind w:firstLineChars="200" w:firstLine="560"/>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密码为：ynshxjm</w:t>
      </w:r>
    </w:p>
    <w:p w:rsidR="009A7F3F" w:rsidRDefault="009A7F3F" w:rsidP="009A7F3F">
      <w:pPr>
        <w:spacing w:line="360" w:lineRule="auto"/>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附件：1. 全国大学生数学建模竞赛云南赛区第三届组委会及专家组名单</w:t>
      </w:r>
    </w:p>
    <w:p w:rsidR="009A7F3F" w:rsidRDefault="009A7F3F" w:rsidP="009A7F3F">
      <w:pPr>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2. 全国大学生数学建模竞赛报名和参赛须知</w:t>
      </w:r>
    </w:p>
    <w:p w:rsidR="009A7F3F" w:rsidRDefault="009A7F3F" w:rsidP="009A7F3F">
      <w:pPr>
        <w:shd w:val="solid" w:color="FFFFFF" w:fill="auto"/>
        <w:autoSpaceDN w:val="0"/>
        <w:spacing w:line="360" w:lineRule="auto"/>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3. 参赛信息表</w:t>
      </w:r>
    </w:p>
    <w:p w:rsidR="009A7F3F" w:rsidRDefault="009A7F3F" w:rsidP="009A7F3F">
      <w:pPr>
        <w:shd w:val="solid" w:color="FFFFFF" w:fill="auto"/>
        <w:autoSpaceDN w:val="0"/>
        <w:spacing w:line="360" w:lineRule="auto"/>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4. 2015年全国大学生数学建模竞赛云南赛区参赛报名表 </w:t>
      </w:r>
    </w:p>
    <w:p w:rsidR="009A7F3F" w:rsidRDefault="009A7F3F" w:rsidP="009A7F3F">
      <w:pPr>
        <w:shd w:val="solid" w:color="FFFFFF" w:fill="auto"/>
        <w:autoSpaceDN w:val="0"/>
        <w:spacing w:line="360" w:lineRule="auto"/>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5. 2015年全国大学生数学建模竞赛云南赛区系统报名说明  </w:t>
      </w:r>
    </w:p>
    <w:p w:rsidR="009A7F3F" w:rsidRDefault="009A7F3F" w:rsidP="009A7F3F">
      <w:pPr>
        <w:shd w:val="solid" w:color="FFFFFF" w:fill="auto"/>
        <w:autoSpaceDN w:val="0"/>
        <w:spacing w:line="360" w:lineRule="auto"/>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lastRenderedPageBreak/>
        <w:t xml:space="preserve">         6. 全国大学生数学建模竞赛参赛规则（2012年12月修订）</w:t>
      </w:r>
    </w:p>
    <w:p w:rsidR="009A7F3F" w:rsidRDefault="009A7F3F" w:rsidP="009A7F3F">
      <w:pPr>
        <w:shd w:val="solid" w:color="FFFFFF" w:fill="auto"/>
        <w:autoSpaceDN w:val="0"/>
        <w:spacing w:line="360" w:lineRule="auto"/>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7. 全国大学生数学建模竞赛论文格式规范</w:t>
      </w:r>
    </w:p>
    <w:p w:rsidR="009A7F3F" w:rsidRDefault="009A7F3F" w:rsidP="009A7F3F">
      <w:pPr>
        <w:shd w:val="solid" w:color="FFFFFF" w:fill="auto"/>
        <w:autoSpaceDN w:val="0"/>
        <w:spacing w:line="360" w:lineRule="auto"/>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8 云南赛区学校编号分配表</w:t>
      </w:r>
    </w:p>
    <w:p w:rsidR="009A7F3F" w:rsidRDefault="009A7F3F" w:rsidP="009A7F3F">
      <w:pPr>
        <w:shd w:val="solid" w:color="FFFFFF" w:fill="auto"/>
        <w:autoSpaceDN w:val="0"/>
        <w:spacing w:line="360" w:lineRule="auto"/>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9. 参赛统计表</w:t>
      </w:r>
    </w:p>
    <w:p w:rsidR="009A7F3F" w:rsidRDefault="009A7F3F" w:rsidP="009A7F3F">
      <w:pPr>
        <w:shd w:val="solid" w:color="FFFFFF" w:fill="auto"/>
        <w:autoSpaceDN w:val="0"/>
        <w:spacing w:line="360" w:lineRule="auto"/>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w:t>
      </w:r>
    </w:p>
    <w:p w:rsidR="009A7F3F" w:rsidRDefault="009A7F3F" w:rsidP="009A7F3F">
      <w:pPr>
        <w:spacing w:line="480" w:lineRule="auto"/>
        <w:ind w:firstLine="435"/>
        <w:jc w:val="left"/>
        <w:rPr>
          <w:rFonts w:ascii="方正仿宋_GBK" w:eastAsia="方正仿宋_GBK" w:hAnsi="方正仿宋_GBK" w:cs="方正仿宋_GBK"/>
          <w:sz w:val="28"/>
          <w:szCs w:val="32"/>
        </w:rPr>
      </w:pPr>
      <w:r>
        <w:rPr>
          <w:rFonts w:ascii="方正仿宋_GBK" w:eastAsia="方正仿宋_GBK" w:hAnsi="方正仿宋_GBK" w:cs="方正仿宋_GBK" w:hint="eastAsia"/>
          <w:sz w:val="28"/>
          <w:szCs w:val="32"/>
        </w:rPr>
        <w:t xml:space="preserve">      </w:t>
      </w:r>
    </w:p>
    <w:p w:rsidR="009A7F3F" w:rsidRDefault="009A7F3F" w:rsidP="009A7F3F">
      <w:pPr>
        <w:spacing w:line="440" w:lineRule="exact"/>
        <w:rPr>
          <w:rFonts w:ascii="方正仿宋_GBK" w:eastAsia="方正仿宋_GBK" w:hAnsi="方正仿宋_GBK" w:cs="方正仿宋_GBK"/>
          <w:sz w:val="28"/>
        </w:rPr>
      </w:pPr>
    </w:p>
    <w:p w:rsidR="009A7F3F" w:rsidRDefault="009A7F3F" w:rsidP="009A7F3F">
      <w:pPr>
        <w:spacing w:line="440" w:lineRule="exact"/>
        <w:jc w:val="right"/>
        <w:rPr>
          <w:rFonts w:ascii="方正仿宋_GBK" w:eastAsia="方正仿宋_GBK" w:hAnsi="方正仿宋_GBK" w:cs="方正仿宋_GBK"/>
          <w:sz w:val="28"/>
        </w:rPr>
      </w:pPr>
      <w:r>
        <w:rPr>
          <w:rFonts w:ascii="方正仿宋_GBK" w:eastAsia="方正仿宋_GBK" w:hAnsi="方正仿宋_GBK" w:cs="方正仿宋_GBK" w:hint="eastAsia"/>
          <w:sz w:val="28"/>
        </w:rPr>
        <w:t>云南省教育厅</w:t>
      </w:r>
    </w:p>
    <w:p w:rsidR="009A7F3F" w:rsidRDefault="009A7F3F" w:rsidP="009A7F3F">
      <w:pPr>
        <w:spacing w:line="440" w:lineRule="exact"/>
        <w:ind w:firstLineChars="200" w:firstLine="560"/>
        <w:jc w:val="right"/>
        <w:rPr>
          <w:rFonts w:ascii="方正仿宋_GBK" w:eastAsia="方正仿宋_GBK" w:hAnsi="方正仿宋_GBK" w:cs="方正仿宋_GBK"/>
          <w:sz w:val="28"/>
        </w:rPr>
      </w:pPr>
      <w:r>
        <w:rPr>
          <w:rFonts w:ascii="方正仿宋_GBK" w:eastAsia="方正仿宋_GBK" w:hAnsi="方正仿宋_GBK" w:cs="方正仿宋_GBK" w:hint="eastAsia"/>
          <w:sz w:val="28"/>
        </w:rPr>
        <w:t>2015年4月</w:t>
      </w:r>
    </w:p>
    <w:p w:rsidR="009A7F3F" w:rsidRDefault="009A7F3F" w:rsidP="009A7F3F">
      <w:pPr>
        <w:spacing w:line="440" w:lineRule="exact"/>
        <w:ind w:firstLineChars="200" w:firstLine="560"/>
        <w:jc w:val="left"/>
        <w:rPr>
          <w:rFonts w:ascii="方正仿宋_GBK" w:eastAsia="方正仿宋_GBK" w:hAnsi="方正仿宋_GBK" w:cs="方正仿宋_GBK"/>
          <w:sz w:val="28"/>
        </w:rPr>
      </w:pPr>
    </w:p>
    <w:p w:rsidR="002D5552" w:rsidRDefault="002D5552"/>
    <w:sectPr w:rsidR="002D5552" w:rsidSect="000032C7">
      <w:footerReference w:type="even" r:id="rId7"/>
      <w:footerReference w:type="default" r:id="rId8"/>
      <w:pgSz w:w="11906" w:h="16838"/>
      <w:pgMar w:top="1985" w:right="1247"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A73" w:rsidRDefault="00833A73" w:rsidP="001670D3">
      <w:r>
        <w:separator/>
      </w:r>
    </w:p>
  </w:endnote>
  <w:endnote w:type="continuationSeparator" w:id="1">
    <w:p w:rsidR="00833A73" w:rsidRDefault="00833A73" w:rsidP="00167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E9" w:rsidRDefault="00CC5DA5" w:rsidP="000E0513">
    <w:pPr>
      <w:pStyle w:val="a3"/>
      <w:framePr w:wrap="around" w:vAnchor="text" w:hAnchor="margin" w:xAlign="center" w:y="1"/>
      <w:rPr>
        <w:rStyle w:val="a4"/>
      </w:rPr>
    </w:pPr>
    <w:r>
      <w:rPr>
        <w:rStyle w:val="a4"/>
      </w:rPr>
      <w:fldChar w:fldCharType="begin"/>
    </w:r>
    <w:r w:rsidR="008300B5">
      <w:rPr>
        <w:rStyle w:val="a4"/>
      </w:rPr>
      <w:instrText xml:space="preserve">PAGE  </w:instrText>
    </w:r>
    <w:r>
      <w:rPr>
        <w:rStyle w:val="a4"/>
      </w:rPr>
      <w:fldChar w:fldCharType="end"/>
    </w:r>
  </w:p>
  <w:p w:rsidR="002A04E9" w:rsidRDefault="00833A7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E9" w:rsidRDefault="00CC5DA5" w:rsidP="000E0513">
    <w:pPr>
      <w:pStyle w:val="a3"/>
      <w:framePr w:wrap="around" w:vAnchor="text" w:hAnchor="margin" w:xAlign="center" w:y="1"/>
      <w:rPr>
        <w:rStyle w:val="a4"/>
      </w:rPr>
    </w:pPr>
    <w:r>
      <w:rPr>
        <w:rStyle w:val="a4"/>
      </w:rPr>
      <w:fldChar w:fldCharType="begin"/>
    </w:r>
    <w:r w:rsidR="008300B5">
      <w:rPr>
        <w:rStyle w:val="a4"/>
      </w:rPr>
      <w:instrText xml:space="preserve">PAGE  </w:instrText>
    </w:r>
    <w:r>
      <w:rPr>
        <w:rStyle w:val="a4"/>
      </w:rPr>
      <w:fldChar w:fldCharType="separate"/>
    </w:r>
    <w:r w:rsidR="00041AF6">
      <w:rPr>
        <w:rStyle w:val="a4"/>
        <w:noProof/>
      </w:rPr>
      <w:t>2</w:t>
    </w:r>
    <w:r>
      <w:rPr>
        <w:rStyle w:val="a4"/>
      </w:rPr>
      <w:fldChar w:fldCharType="end"/>
    </w:r>
  </w:p>
  <w:p w:rsidR="002A04E9" w:rsidRDefault="00833A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A73" w:rsidRDefault="00833A73" w:rsidP="001670D3">
      <w:r>
        <w:separator/>
      </w:r>
    </w:p>
  </w:footnote>
  <w:footnote w:type="continuationSeparator" w:id="1">
    <w:p w:rsidR="00833A73" w:rsidRDefault="00833A73" w:rsidP="00167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0B5"/>
    <w:rsid w:val="00041AF6"/>
    <w:rsid w:val="000E38C2"/>
    <w:rsid w:val="001670D3"/>
    <w:rsid w:val="002D5552"/>
    <w:rsid w:val="00632B99"/>
    <w:rsid w:val="00806080"/>
    <w:rsid w:val="008300B5"/>
    <w:rsid w:val="00833A73"/>
    <w:rsid w:val="009A7F3F"/>
    <w:rsid w:val="009F1579"/>
    <w:rsid w:val="00B06413"/>
    <w:rsid w:val="00CC5DA5"/>
    <w:rsid w:val="00EE7CC7"/>
    <w:rsid w:val="00F47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0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300B5"/>
    <w:pPr>
      <w:tabs>
        <w:tab w:val="center" w:pos="4153"/>
        <w:tab w:val="right" w:pos="8306"/>
      </w:tabs>
      <w:snapToGrid w:val="0"/>
      <w:jc w:val="left"/>
    </w:pPr>
    <w:rPr>
      <w:sz w:val="18"/>
      <w:szCs w:val="18"/>
    </w:rPr>
  </w:style>
  <w:style w:type="character" w:customStyle="1" w:styleId="Char">
    <w:name w:val="页脚 Char"/>
    <w:basedOn w:val="a0"/>
    <w:link w:val="a3"/>
    <w:rsid w:val="008300B5"/>
    <w:rPr>
      <w:rFonts w:ascii="Times New Roman" w:eastAsia="宋体" w:hAnsi="Times New Roman" w:cs="Times New Roman"/>
      <w:sz w:val="18"/>
      <w:szCs w:val="18"/>
    </w:rPr>
  </w:style>
  <w:style w:type="character" w:styleId="a4">
    <w:name w:val="page number"/>
    <w:basedOn w:val="a0"/>
    <w:rsid w:val="008300B5"/>
  </w:style>
  <w:style w:type="character" w:styleId="a5">
    <w:name w:val="Hyperlink"/>
    <w:rsid w:val="008300B5"/>
    <w:rPr>
      <w:color w:val="0000FF"/>
      <w:u w:val="single"/>
    </w:rPr>
  </w:style>
  <w:style w:type="paragraph" w:customStyle="1" w:styleId="1">
    <w:name w:val="列出段落1"/>
    <w:basedOn w:val="a"/>
    <w:rsid w:val="008300B5"/>
    <w:pPr>
      <w:ind w:firstLineChars="200" w:firstLine="420"/>
    </w:pPr>
  </w:style>
  <w:style w:type="paragraph" w:customStyle="1" w:styleId="2">
    <w:name w:val="列出段落2"/>
    <w:basedOn w:val="a"/>
    <w:rsid w:val="009A7F3F"/>
    <w:pPr>
      <w:ind w:firstLineChars="200" w:firstLine="420"/>
    </w:pPr>
  </w:style>
  <w:style w:type="paragraph" w:styleId="a6">
    <w:name w:val="header"/>
    <w:basedOn w:val="a"/>
    <w:link w:val="Char0"/>
    <w:uiPriority w:val="99"/>
    <w:semiHidden/>
    <w:unhideWhenUsed/>
    <w:rsid w:val="00041A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41A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35831;&#21457;&#36865;&#33267;ynnydxjxk@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560</Words>
  <Characters>3192</Characters>
  <Application>Microsoft Office Word</Application>
  <DocSecurity>0</DocSecurity>
  <Lines>26</Lines>
  <Paragraphs>7</Paragraphs>
  <ScaleCrop>false</ScaleCrop>
  <Company>Sky123.Org</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6</cp:revision>
  <dcterms:created xsi:type="dcterms:W3CDTF">2015-06-08T01:54:00Z</dcterms:created>
  <dcterms:modified xsi:type="dcterms:W3CDTF">2015-06-09T09:14:00Z</dcterms:modified>
</cp:coreProperties>
</file>