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云南农业大学2022年普通高校“专升本”</w:t>
      </w:r>
    </w:p>
    <w:p>
      <w:pPr>
        <w:adjustRightInd w:val="0"/>
        <w:snapToGrid w:val="0"/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招生简章</w:t>
      </w:r>
    </w:p>
    <w:p>
      <w:pPr>
        <w:spacing w:line="500" w:lineRule="exact"/>
        <w:ind w:firstLine="643" w:firstLineChars="200"/>
        <w:rPr>
          <w:rFonts w:ascii="方正仿宋简体" w:hAnsi="华文中宋" w:eastAsia="方正仿宋简体"/>
          <w:b/>
          <w:sz w:val="32"/>
          <w:szCs w:val="32"/>
        </w:rPr>
      </w:pPr>
    </w:p>
    <w:p>
      <w:pPr>
        <w:spacing w:after="156" w:afterLines="50" w:line="500" w:lineRule="exact"/>
        <w:ind w:firstLine="640" w:firstLineChars="200"/>
        <w:rPr>
          <w:rFonts w:ascii="方正黑体_GBK" w:hAnsi="华文中宋" w:eastAsia="方正黑体_GBK"/>
          <w:b/>
          <w:sz w:val="32"/>
          <w:szCs w:val="32"/>
        </w:rPr>
      </w:pPr>
      <w:r>
        <w:rPr>
          <w:rFonts w:hint="eastAsia" w:ascii="方正黑体_GBK" w:hAnsi="华文中宋" w:eastAsia="方正黑体_GBK"/>
          <w:b/>
          <w:sz w:val="32"/>
          <w:szCs w:val="32"/>
        </w:rPr>
        <w:t>一、学校简介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创办于1938年，前身是国立云南大学农学院。1983年成为硕士学位授权单位，1993年列为云南省属重点大学，2003年成为博士学位授权单位，2007年设立博士后科研流动站。2009年、2013年、2014年云南省委省政府依托学校办学资源分别创办了云南农村干部学院、云南省食品安全管理学院、云南省高原特色农业产业研究院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办学84年来，一代代农大人秉承“开学养正、耕读至诚”的农大精神，情系稼穑、躬耕疆域、励精图治、矢志创业，为社会培养了以“时代楷模”、“全国脱贫攻坚先进个人”朱有勇院士为代表的16万余名专业人才。学校目前有校本部和普洱校区2个校区，占地面积3803亩，职工1900余人，全日制在校学生32000余人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学校办学涵盖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"http://baike.so.com/doc/3221273-3394647.html"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经济学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"http://baike.so.com/doc/3981470-4177552.html"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法学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"http://baike.so.com/doc/4704099-4918398.html"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教育学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"http://baike.so.com/doc/5389292-7345283.html"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文学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"http://baike.so.com/doc/10042851-10532716.html"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理学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、工学、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"http://baike.so.com/doc/5430838-5669125.html"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农学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"http://baike.so.com/doc/1730919-1829995.html" \t "_blank"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管理学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、艺术学9个学科门类。有一级学科博士点6个，二级学科博士点21个；一级学科硕士点14个，二级学科硕士点73个，硕士专业学位授予类别12种；一级学科博士后科研流动站5个。现有本科专业82个，其中国家级一流专业9个，特色专业6个，国家工程教育认证专业2个；省级一流专业23个、特色专业7个，品牌专业5个，重点专业8个；具有外国留学生招生资格，有中外合作办学专业3个。其中生物技术、动物科学、动物医学、食品科学与工程、食品质量与安全、农学、茶学7个国家级一流本科专业和英语、土木工程、动植物检疫（植物检疫方向）、园林、草业科学、中草药栽培与鉴定、工程造价、机械设计制造及其自动化、计算机科学与技术、农业资源与环境、电子商务11个省级一流本科专业参加2022年专升本招生。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云南省唯一一所省属重点农业大学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教育部本科教学水平评估优秀学校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培养了云南省农业系统第一位院士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拥有省部共建国家重点实验室和国家工程中心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拥有国家农业农村大数据中心云南分中心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设有云南省唯一国家级新农村发展研究院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第一批中国—东盟教育培训中心承办单位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国家首批“卓越农林人才教育培养计划”高校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教育部“卓越工程师教育培养计划”高校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全国毕业生就业典型经验高校50强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全国创新创业典型经验高校50强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全国深化创新创业教育改革示范高校</w:t>
      </w:r>
    </w:p>
    <w:p>
      <w:pPr>
        <w:spacing w:before="156" w:beforeLines="50" w:after="156" w:afterLines="50" w:line="500" w:lineRule="exact"/>
        <w:ind w:firstLine="640" w:firstLineChars="200"/>
        <w:rPr>
          <w:rFonts w:ascii="方正黑体_GBK" w:hAnsi="华文中宋" w:eastAsia="方正黑体_GBK"/>
          <w:b/>
          <w:sz w:val="32"/>
          <w:szCs w:val="32"/>
        </w:rPr>
      </w:pPr>
      <w:r>
        <w:rPr>
          <w:rFonts w:hint="eastAsia" w:ascii="方正黑体_GBK" w:hAnsi="华文中宋" w:eastAsia="方正黑体_GBK"/>
          <w:b/>
          <w:sz w:val="32"/>
          <w:szCs w:val="32"/>
        </w:rPr>
        <w:t>二、招生专业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2022年专升本招生专业共有39个，涉及13个专业类别（其中农学类18个专业、英语类1个专业、旅游管理类2个专业、电气类1个专业、动物类4个专业、机械类1个专业、计算机类1个专业、经济管理类3个专业、体育类1个专业、土木工程类4个专业、地理类1个专业、化学类1个专业、水利类1个专业）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升本培养点分校本部和普洱校区2个校区，农林经济管理、电子商务、食品科学与工程、风景园林、农学、茶学、中草药栽培与鉴定、工程造价8个专业为普洱校区，录取新生就读地点为云南省思茅市思茅区倚象镇帝泊洱大道中段。</w:t>
      </w:r>
    </w:p>
    <w:p>
      <w:pPr>
        <w:spacing w:line="500" w:lineRule="exact"/>
        <w:ind w:firstLine="640" w:firstLineChars="200"/>
        <w:rPr>
          <w:rFonts w:hint="eastAsia" w:ascii="方正仿宋_GBK" w:hAnsi="华文中宋" w:eastAsia="方正仿宋_GBK"/>
          <w:sz w:val="32"/>
          <w:szCs w:val="32"/>
        </w:rPr>
      </w:pPr>
    </w:p>
    <w:p>
      <w:pPr>
        <w:adjustRightInd w:val="0"/>
        <w:snapToGrid w:val="0"/>
        <w:spacing w:line="760" w:lineRule="exact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云南农业大学2022年普通高校专升本招生专业及类别</w:t>
      </w:r>
    </w:p>
    <w:tbl>
      <w:tblPr>
        <w:tblStyle w:val="7"/>
        <w:tblW w:w="54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222"/>
        <w:gridCol w:w="2697"/>
        <w:gridCol w:w="1136"/>
        <w:gridCol w:w="1136"/>
        <w:gridCol w:w="1561"/>
        <w:gridCol w:w="84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专业方向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校区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专业类别名称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学费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050201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英语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英语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120901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旅游管理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旅游管理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120902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酒店管理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旅游管理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020101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经济学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经济管理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120301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农林经济管理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普洱校区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经济管理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120801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电子商务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普洱校区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经济管理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120404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土地资源管理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地理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040201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体育教育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体育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080901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计算机科学与技术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计算机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080601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电气工程及其自动化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电气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071002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生物技术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071004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生态学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082503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环境科学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082701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食品科学与工程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普洱校区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082702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食品质量与安全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082803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风景园林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普洱校区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090101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农学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普洱校区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090102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园艺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090105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种子科学与工程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090106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设施农业科学与工程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090107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茶学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普洱校区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090108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烟草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090201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农业资源与环境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090403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动植物检疫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植物检疫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090502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园林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090503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森林保护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090701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草业科学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100806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中草药栽培与鉴定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普洱校区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农学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090301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动物科学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动物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090303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蜂学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动物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090401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动物医学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动物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090601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水产养殖学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动物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070302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应用化学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化学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080202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机械设计制造及其自动化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机械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081001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土木工程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土木工程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081002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建筑环境与能源应用工程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土木工程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120103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土木工程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120105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工程造价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普洱校区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土木工程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081101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bidi="ar"/>
              </w:rPr>
              <w:t>水利水电工程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校本部</w:t>
            </w:r>
          </w:p>
        </w:tc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水利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4500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注：1、招生计划以云南省专升本考生管理系统公布数据为准。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2、收费标准单位为“元/学年”，实际收费标准以省发改委批复为准。</w:t>
      </w:r>
    </w:p>
    <w:p>
      <w:pPr>
        <w:spacing w:before="156" w:beforeLines="50" w:after="156" w:afterLines="50" w:line="500" w:lineRule="exact"/>
        <w:ind w:firstLine="640" w:firstLineChars="200"/>
        <w:rPr>
          <w:rFonts w:ascii="方正仿宋_GBK" w:hAnsi="华文中宋" w:eastAsia="方正仿宋_GBK"/>
          <w:sz w:val="32"/>
          <w:szCs w:val="32"/>
        </w:rPr>
      </w:pPr>
      <w:r>
        <w:rPr>
          <w:rFonts w:hint="eastAsia" w:ascii="方正黑体_GBK" w:hAnsi="华文中宋" w:eastAsia="方正黑体_GBK"/>
          <w:b/>
          <w:sz w:val="32"/>
          <w:szCs w:val="32"/>
        </w:rPr>
        <w:t>三、报考须知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（一）志愿填报实行网上填报志愿、网上确认志愿方式。考生须在规定时间内登录云南省招考频道（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"https://www.ynzs.cn/" \t "_self"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https://www.ynzs.cn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），点击“云南省专升本考生管理系统”进行志愿填报，并进行志愿确认，完成确认的志愿方为有效志愿。正式填报志愿开始时间为5月18日9:00，考生填报、确认提交截止时间为5月20日18:00。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应根据本人成绩、对应专业类别分数线、招生计划科学合理填报志愿。按照报名时选择的报考专业类别，选择相应的院校及专业，只能填报与本人专科所学专业相同或相近的招生专业。相同相近专业对应关系在专升本报名前已由招生院校审核设定，考生只能按所学专业设定的对应类别、院校、专业进行填报，不同类别不得兼报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普通考生可填报不超过20个志愿，每个志愿1所院校1个专业，不能填报专项志愿；云南省原建档立卡贫困家庭考生可填报不超过20个普通志愿，不超过10个专项志愿，每个志愿1所院校1个专业，考生可根据意愿自由组合普通志愿和专项志愿的顺序。符合免试条件的考生按免试批次相关规定进行填报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因受疫情影响未完成第三科目考试的考生、体育专业考生暂不填报志愿，待全部科目考试结束后再公布各专业类别分数线和填报志愿，具体时间另行通知。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（四）考生在填报志愿前，应认真了解平行志愿的投档原则，认真查阅招生院校招生专业的具体情况，按有关规定和要求填报志愿。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新生入学时，必须进行专科毕业证审核才能报到入学（应届毕业生必须在专科毕业当年8月31日前取得专科毕业证书），请各考生注意专科毕业证取得的时间结点和学籍状态情况，若未能按时取得专科毕业证书，将不予报到注册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（六）其它事项按《云南省2022年普通高等学校本科招收应届专科毕业生升学统一招生考试办法》、《云南省2022年普通高校专升本招生考试网上填报志愿考生须知》相关规定执行。</w:t>
      </w:r>
    </w:p>
    <w:p>
      <w:pPr>
        <w:spacing w:before="156" w:beforeLines="50" w:after="156" w:afterLines="50" w:line="500" w:lineRule="exact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四、联系方式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联系单位：云南农业大学招生办公室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电    话：0871-65227706（兼传真）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电子邮箱：zhaosheng@ynau.edu.cn    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学校网址：https://www.ynau.edu.cn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招生网址：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"https://zjc.ynau.edu.cn"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https://zjc.ynau.edu.cn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通讯地址：云南省昆明市北市区沣源路452号</w:t>
      </w:r>
    </w:p>
    <w:p>
      <w:pPr>
        <w:spacing w:line="500" w:lineRule="exact"/>
        <w:rPr>
          <w:rFonts w:ascii="方正仿宋_GBK" w:hAnsi="华文中宋" w:eastAsia="方正仿宋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邮    编：650201                         </w:t>
      </w:r>
      <w:r>
        <w:rPr>
          <w:rFonts w:hint="eastAsia" w:ascii="方正仿宋_GBK" w:hAnsi="华文中宋" w:eastAsia="方正仿宋_GBK"/>
          <w:sz w:val="32"/>
          <w:szCs w:val="32"/>
        </w:rPr>
        <w:t xml:space="preserve">                                   </w:t>
      </w:r>
    </w:p>
    <w:p>
      <w:pPr>
        <w:spacing w:line="500" w:lineRule="exact"/>
        <w:jc w:val="left"/>
        <w:rPr>
          <w:rFonts w:ascii="方正仿宋简体" w:hAnsi="华文中宋" w:eastAsia="方正仿宋简体"/>
          <w:sz w:val="28"/>
        </w:rPr>
      </w:pP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167640</wp:posOffset>
            </wp:positionV>
            <wp:extent cx="762000" cy="762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华文中宋" w:eastAsia="方正仿宋简体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229870</wp:posOffset>
            </wp:positionV>
            <wp:extent cx="675005" cy="675005"/>
            <wp:effectExtent l="0" t="0" r="0" b="0"/>
            <wp:wrapSquare wrapText="bothSides"/>
            <wp:docPr id="14" name="图片 1" descr="C:\Users\Administrator\Desktop\2017年招生工作\招生宣传\2017年招生宣传基础材料\图片（精选）\招生官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C:\Users\Administrator\Desktop\2017年招生工作\招生宣传\2017年招生宣传基础材料\图片（精选）\招生官网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ind w:left="6860" w:hanging="6860" w:hangingChars="2450"/>
        <w:jc w:val="left"/>
        <w:rPr>
          <w:rFonts w:ascii="方正仿宋简体" w:hAnsi="华文中宋" w:eastAsia="方正仿宋简体"/>
          <w:sz w:val="28"/>
        </w:rPr>
      </w:pPr>
    </w:p>
    <w:p>
      <w:pPr>
        <w:spacing w:line="500" w:lineRule="exact"/>
        <w:ind w:left="6860" w:hanging="6860" w:hangingChars="2450"/>
        <w:jc w:val="left"/>
        <w:rPr>
          <w:rFonts w:ascii="方正仿宋简体" w:hAnsi="华文中宋" w:eastAsia="方正仿宋简体"/>
          <w:sz w:val="28"/>
        </w:rPr>
      </w:pPr>
    </w:p>
    <w:p>
      <w:pPr>
        <w:spacing w:line="5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学校官微    招生官网    </w:t>
      </w:r>
    </w:p>
    <w:p>
      <w:pPr>
        <w:spacing w:line="500" w:lineRule="exact"/>
        <w:jc w:val="left"/>
        <w:rPr>
          <w:rFonts w:ascii="方正仿宋_GBK" w:hAnsi="华文中宋" w:eastAsia="方正仿宋_GBK"/>
          <w:sz w:val="32"/>
          <w:szCs w:val="32"/>
        </w:rPr>
      </w:pPr>
    </w:p>
    <w:p>
      <w:pPr>
        <w:spacing w:line="500" w:lineRule="exact"/>
        <w:rPr>
          <w:rFonts w:ascii="方正仿宋简体" w:hAnsi="华文中宋" w:eastAsia="方正仿宋简体"/>
          <w:color w:val="FF0000"/>
          <w:sz w:val="28"/>
        </w:rPr>
      </w:pPr>
    </w:p>
    <w:p>
      <w:pPr>
        <w:spacing w:line="500" w:lineRule="exact"/>
        <w:ind w:firstLine="880" w:firstLineChars="200"/>
        <w:rPr>
          <w:rFonts w:ascii="方正小标宋_GBK" w:hAnsi="华文中宋" w:eastAsia="方正小标宋_GBK"/>
          <w:b/>
          <w:sz w:val="44"/>
          <w:szCs w:val="44"/>
        </w:rPr>
      </w:pPr>
      <w:r>
        <w:rPr>
          <w:rFonts w:hint="eastAsia" w:ascii="方正小标宋_GBK" w:hAnsi="华文中宋" w:eastAsia="方正小标宋_GBK"/>
          <w:b/>
          <w:sz w:val="44"/>
          <w:szCs w:val="44"/>
        </w:rPr>
        <w:t>热诚欢迎各位考生报考云南农业大学！</w:t>
      </w:r>
    </w:p>
    <w:sectPr>
      <w:pgSz w:w="11906" w:h="16838"/>
      <w:pgMar w:top="1247" w:right="141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E096A"/>
    <w:multiLevelType w:val="multilevel"/>
    <w:tmpl w:val="01BE096A"/>
    <w:lvl w:ilvl="0" w:tentative="0">
      <w:start w:val="1"/>
      <w:numFmt w:val="bullet"/>
      <w:lvlText w:val="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0"/>
      <w:numFmt w:val="bullet"/>
      <w:lvlText w:val="◆"/>
      <w:lvlJc w:val="left"/>
      <w:pPr>
        <w:ind w:left="1340" w:hanging="360"/>
      </w:pPr>
      <w:rPr>
        <w:rFonts w:hint="eastAsia" w:ascii="华文中宋" w:hAnsi="华文中宋" w:eastAsia="华文中宋" w:cs="Times New Roman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DM2OWYyNjhhOWNkNzY0MTA5ZjcyNmRkNmFmNmJjZTMifQ=="/>
  </w:docVars>
  <w:rsids>
    <w:rsidRoot w:val="00463813"/>
    <w:rsid w:val="000031A8"/>
    <w:rsid w:val="00010954"/>
    <w:rsid w:val="00011C6F"/>
    <w:rsid w:val="00014EB9"/>
    <w:rsid w:val="0002027E"/>
    <w:rsid w:val="000228B9"/>
    <w:rsid w:val="00027B98"/>
    <w:rsid w:val="00033959"/>
    <w:rsid w:val="00034AD4"/>
    <w:rsid w:val="000362D2"/>
    <w:rsid w:val="0004357D"/>
    <w:rsid w:val="00050A70"/>
    <w:rsid w:val="00053AFF"/>
    <w:rsid w:val="00060C62"/>
    <w:rsid w:val="0006253F"/>
    <w:rsid w:val="00063702"/>
    <w:rsid w:val="00073ED4"/>
    <w:rsid w:val="0008672C"/>
    <w:rsid w:val="00087973"/>
    <w:rsid w:val="00095DEA"/>
    <w:rsid w:val="000B380F"/>
    <w:rsid w:val="000B3FED"/>
    <w:rsid w:val="000B6709"/>
    <w:rsid w:val="000B6B63"/>
    <w:rsid w:val="000C158B"/>
    <w:rsid w:val="000C276D"/>
    <w:rsid w:val="000D4FF5"/>
    <w:rsid w:val="000F0A4E"/>
    <w:rsid w:val="000F34EE"/>
    <w:rsid w:val="000F4959"/>
    <w:rsid w:val="00103B9A"/>
    <w:rsid w:val="00120B5A"/>
    <w:rsid w:val="001212F6"/>
    <w:rsid w:val="00122F0D"/>
    <w:rsid w:val="001238C7"/>
    <w:rsid w:val="00124EDB"/>
    <w:rsid w:val="001401B4"/>
    <w:rsid w:val="00150BC8"/>
    <w:rsid w:val="00153638"/>
    <w:rsid w:val="001577F6"/>
    <w:rsid w:val="00171919"/>
    <w:rsid w:val="0017688B"/>
    <w:rsid w:val="0018176D"/>
    <w:rsid w:val="00187370"/>
    <w:rsid w:val="00190FA6"/>
    <w:rsid w:val="00194399"/>
    <w:rsid w:val="00195933"/>
    <w:rsid w:val="001A2A3C"/>
    <w:rsid w:val="001A3784"/>
    <w:rsid w:val="001B0CE3"/>
    <w:rsid w:val="001B369A"/>
    <w:rsid w:val="001D4F94"/>
    <w:rsid w:val="001D53D9"/>
    <w:rsid w:val="001E7F67"/>
    <w:rsid w:val="001F1D96"/>
    <w:rsid w:val="001F2714"/>
    <w:rsid w:val="002043D4"/>
    <w:rsid w:val="00206D9C"/>
    <w:rsid w:val="00212660"/>
    <w:rsid w:val="00213C50"/>
    <w:rsid w:val="00223E21"/>
    <w:rsid w:val="00241056"/>
    <w:rsid w:val="002428C6"/>
    <w:rsid w:val="002463E9"/>
    <w:rsid w:val="002511E8"/>
    <w:rsid w:val="0025392A"/>
    <w:rsid w:val="00261518"/>
    <w:rsid w:val="00264D48"/>
    <w:rsid w:val="002658E6"/>
    <w:rsid w:val="00272A2F"/>
    <w:rsid w:val="00273E93"/>
    <w:rsid w:val="00280881"/>
    <w:rsid w:val="00281F1B"/>
    <w:rsid w:val="00283E21"/>
    <w:rsid w:val="00294130"/>
    <w:rsid w:val="002A7C6A"/>
    <w:rsid w:val="002B47B7"/>
    <w:rsid w:val="002B7A91"/>
    <w:rsid w:val="002C4E60"/>
    <w:rsid w:val="002C52A0"/>
    <w:rsid w:val="002C57E3"/>
    <w:rsid w:val="002D1747"/>
    <w:rsid w:val="002D19BA"/>
    <w:rsid w:val="002E20E5"/>
    <w:rsid w:val="002F5223"/>
    <w:rsid w:val="003007C0"/>
    <w:rsid w:val="003050BB"/>
    <w:rsid w:val="00306506"/>
    <w:rsid w:val="0031216F"/>
    <w:rsid w:val="003175AD"/>
    <w:rsid w:val="00320608"/>
    <w:rsid w:val="003242F7"/>
    <w:rsid w:val="003250FA"/>
    <w:rsid w:val="003305DC"/>
    <w:rsid w:val="003408D9"/>
    <w:rsid w:val="00346066"/>
    <w:rsid w:val="0035299C"/>
    <w:rsid w:val="003613DA"/>
    <w:rsid w:val="003641D1"/>
    <w:rsid w:val="00366560"/>
    <w:rsid w:val="00373E3F"/>
    <w:rsid w:val="003746C8"/>
    <w:rsid w:val="00377498"/>
    <w:rsid w:val="00381067"/>
    <w:rsid w:val="00381BB6"/>
    <w:rsid w:val="0038505F"/>
    <w:rsid w:val="00386CBE"/>
    <w:rsid w:val="003A10CA"/>
    <w:rsid w:val="003A11E9"/>
    <w:rsid w:val="003B03B2"/>
    <w:rsid w:val="003B0F63"/>
    <w:rsid w:val="003C4A07"/>
    <w:rsid w:val="003C53B0"/>
    <w:rsid w:val="003C7840"/>
    <w:rsid w:val="003D1C95"/>
    <w:rsid w:val="003D4CB5"/>
    <w:rsid w:val="003F55D7"/>
    <w:rsid w:val="0041451F"/>
    <w:rsid w:val="00423649"/>
    <w:rsid w:val="00423E8A"/>
    <w:rsid w:val="0042464E"/>
    <w:rsid w:val="004316EA"/>
    <w:rsid w:val="00431EA8"/>
    <w:rsid w:val="004341C8"/>
    <w:rsid w:val="0044636A"/>
    <w:rsid w:val="00452375"/>
    <w:rsid w:val="0046153F"/>
    <w:rsid w:val="00463258"/>
    <w:rsid w:val="0046326A"/>
    <w:rsid w:val="004634EC"/>
    <w:rsid w:val="00463813"/>
    <w:rsid w:val="00467186"/>
    <w:rsid w:val="00467C58"/>
    <w:rsid w:val="00473F82"/>
    <w:rsid w:val="00474C9B"/>
    <w:rsid w:val="00476825"/>
    <w:rsid w:val="00476D06"/>
    <w:rsid w:val="00480E3A"/>
    <w:rsid w:val="0048126A"/>
    <w:rsid w:val="00495E1B"/>
    <w:rsid w:val="004971F7"/>
    <w:rsid w:val="004A465D"/>
    <w:rsid w:val="004A7ADA"/>
    <w:rsid w:val="004B611E"/>
    <w:rsid w:val="004C077D"/>
    <w:rsid w:val="004C218B"/>
    <w:rsid w:val="004C3362"/>
    <w:rsid w:val="004C3AFE"/>
    <w:rsid w:val="004C4B9B"/>
    <w:rsid w:val="004D1162"/>
    <w:rsid w:val="004E513A"/>
    <w:rsid w:val="004E7652"/>
    <w:rsid w:val="00500669"/>
    <w:rsid w:val="00514FF1"/>
    <w:rsid w:val="005164A9"/>
    <w:rsid w:val="0052210C"/>
    <w:rsid w:val="005255EE"/>
    <w:rsid w:val="00530356"/>
    <w:rsid w:val="0053330E"/>
    <w:rsid w:val="00561EC8"/>
    <w:rsid w:val="005629D3"/>
    <w:rsid w:val="00562ABA"/>
    <w:rsid w:val="00581D97"/>
    <w:rsid w:val="0058271A"/>
    <w:rsid w:val="0058575B"/>
    <w:rsid w:val="00586EAA"/>
    <w:rsid w:val="00596AB2"/>
    <w:rsid w:val="005A38BD"/>
    <w:rsid w:val="005A46E4"/>
    <w:rsid w:val="005B41E6"/>
    <w:rsid w:val="005B6C23"/>
    <w:rsid w:val="005C0EA9"/>
    <w:rsid w:val="005C4601"/>
    <w:rsid w:val="005D0699"/>
    <w:rsid w:val="005D5CE3"/>
    <w:rsid w:val="005D6072"/>
    <w:rsid w:val="005E099C"/>
    <w:rsid w:val="005E6F9A"/>
    <w:rsid w:val="005F1202"/>
    <w:rsid w:val="005F441A"/>
    <w:rsid w:val="005F498F"/>
    <w:rsid w:val="00602560"/>
    <w:rsid w:val="00605FE3"/>
    <w:rsid w:val="00606041"/>
    <w:rsid w:val="006076BC"/>
    <w:rsid w:val="00610A6C"/>
    <w:rsid w:val="00612036"/>
    <w:rsid w:val="006155C9"/>
    <w:rsid w:val="00622832"/>
    <w:rsid w:val="0062554B"/>
    <w:rsid w:val="00635F39"/>
    <w:rsid w:val="006361E7"/>
    <w:rsid w:val="00651AEB"/>
    <w:rsid w:val="00651CD1"/>
    <w:rsid w:val="0065491F"/>
    <w:rsid w:val="006733F1"/>
    <w:rsid w:val="00675270"/>
    <w:rsid w:val="006868ED"/>
    <w:rsid w:val="006915A5"/>
    <w:rsid w:val="00691DB0"/>
    <w:rsid w:val="006B3E5E"/>
    <w:rsid w:val="006C0A67"/>
    <w:rsid w:val="006C4A47"/>
    <w:rsid w:val="006D15E4"/>
    <w:rsid w:val="006E3039"/>
    <w:rsid w:val="006E4383"/>
    <w:rsid w:val="006E4D41"/>
    <w:rsid w:val="006E50EB"/>
    <w:rsid w:val="006E5425"/>
    <w:rsid w:val="006F7D76"/>
    <w:rsid w:val="00700256"/>
    <w:rsid w:val="00700566"/>
    <w:rsid w:val="0070515D"/>
    <w:rsid w:val="00706DF8"/>
    <w:rsid w:val="0071542E"/>
    <w:rsid w:val="00716894"/>
    <w:rsid w:val="0073501F"/>
    <w:rsid w:val="00735493"/>
    <w:rsid w:val="00754031"/>
    <w:rsid w:val="00762EED"/>
    <w:rsid w:val="00765892"/>
    <w:rsid w:val="00767E14"/>
    <w:rsid w:val="00771A6A"/>
    <w:rsid w:val="007751A0"/>
    <w:rsid w:val="0078663C"/>
    <w:rsid w:val="0079304D"/>
    <w:rsid w:val="00795F05"/>
    <w:rsid w:val="007A12C4"/>
    <w:rsid w:val="007A40E2"/>
    <w:rsid w:val="007C63AD"/>
    <w:rsid w:val="007E4B0F"/>
    <w:rsid w:val="007E72E3"/>
    <w:rsid w:val="007F5B0C"/>
    <w:rsid w:val="008017C4"/>
    <w:rsid w:val="008167AB"/>
    <w:rsid w:val="00822E98"/>
    <w:rsid w:val="0082351B"/>
    <w:rsid w:val="008448DA"/>
    <w:rsid w:val="008626A4"/>
    <w:rsid w:val="00865570"/>
    <w:rsid w:val="008658CE"/>
    <w:rsid w:val="00880481"/>
    <w:rsid w:val="00894201"/>
    <w:rsid w:val="00895633"/>
    <w:rsid w:val="00897595"/>
    <w:rsid w:val="008B1A32"/>
    <w:rsid w:val="008B75DA"/>
    <w:rsid w:val="008B7B25"/>
    <w:rsid w:val="008C4A8F"/>
    <w:rsid w:val="008D0D40"/>
    <w:rsid w:val="008E4711"/>
    <w:rsid w:val="008F072C"/>
    <w:rsid w:val="008F18D5"/>
    <w:rsid w:val="008F18D6"/>
    <w:rsid w:val="008F3E27"/>
    <w:rsid w:val="008F7387"/>
    <w:rsid w:val="00901DF9"/>
    <w:rsid w:val="009034E5"/>
    <w:rsid w:val="009041A4"/>
    <w:rsid w:val="00905C0E"/>
    <w:rsid w:val="00923AAE"/>
    <w:rsid w:val="00924F4B"/>
    <w:rsid w:val="00930268"/>
    <w:rsid w:val="00931334"/>
    <w:rsid w:val="00934769"/>
    <w:rsid w:val="00934C44"/>
    <w:rsid w:val="00946184"/>
    <w:rsid w:val="009565E6"/>
    <w:rsid w:val="00966F22"/>
    <w:rsid w:val="009734B1"/>
    <w:rsid w:val="009755E2"/>
    <w:rsid w:val="00975CAB"/>
    <w:rsid w:val="00980232"/>
    <w:rsid w:val="00983B2A"/>
    <w:rsid w:val="0098584F"/>
    <w:rsid w:val="00985EE8"/>
    <w:rsid w:val="009877A0"/>
    <w:rsid w:val="00990D3F"/>
    <w:rsid w:val="0099702F"/>
    <w:rsid w:val="009A20E0"/>
    <w:rsid w:val="009A20FF"/>
    <w:rsid w:val="009A355D"/>
    <w:rsid w:val="009A56BF"/>
    <w:rsid w:val="009A62A4"/>
    <w:rsid w:val="009A7BDD"/>
    <w:rsid w:val="009C3280"/>
    <w:rsid w:val="009C4D7B"/>
    <w:rsid w:val="009C563F"/>
    <w:rsid w:val="009D10E0"/>
    <w:rsid w:val="009D3D4A"/>
    <w:rsid w:val="009E5C34"/>
    <w:rsid w:val="009F1F1D"/>
    <w:rsid w:val="009F1F66"/>
    <w:rsid w:val="009F2939"/>
    <w:rsid w:val="009F2F07"/>
    <w:rsid w:val="009F5DF0"/>
    <w:rsid w:val="00A02CE4"/>
    <w:rsid w:val="00A07073"/>
    <w:rsid w:val="00A3792E"/>
    <w:rsid w:val="00A54E6E"/>
    <w:rsid w:val="00A6525B"/>
    <w:rsid w:val="00A71FD7"/>
    <w:rsid w:val="00A839B1"/>
    <w:rsid w:val="00AA56F7"/>
    <w:rsid w:val="00AA5E60"/>
    <w:rsid w:val="00AA6100"/>
    <w:rsid w:val="00AB0F26"/>
    <w:rsid w:val="00AB29C5"/>
    <w:rsid w:val="00AB4679"/>
    <w:rsid w:val="00AB61A6"/>
    <w:rsid w:val="00AC273D"/>
    <w:rsid w:val="00AD0D5E"/>
    <w:rsid w:val="00AE2452"/>
    <w:rsid w:val="00AF0758"/>
    <w:rsid w:val="00AF4DBB"/>
    <w:rsid w:val="00B03C1B"/>
    <w:rsid w:val="00B057B8"/>
    <w:rsid w:val="00B073E4"/>
    <w:rsid w:val="00B1190F"/>
    <w:rsid w:val="00B224B0"/>
    <w:rsid w:val="00B238C5"/>
    <w:rsid w:val="00B33AE7"/>
    <w:rsid w:val="00B4224D"/>
    <w:rsid w:val="00B46C31"/>
    <w:rsid w:val="00B53391"/>
    <w:rsid w:val="00B63FF1"/>
    <w:rsid w:val="00B71492"/>
    <w:rsid w:val="00B752C5"/>
    <w:rsid w:val="00B835F7"/>
    <w:rsid w:val="00B918DA"/>
    <w:rsid w:val="00B95025"/>
    <w:rsid w:val="00B96831"/>
    <w:rsid w:val="00BA11E1"/>
    <w:rsid w:val="00BB01AE"/>
    <w:rsid w:val="00BB09A4"/>
    <w:rsid w:val="00BC1933"/>
    <w:rsid w:val="00BD1E3C"/>
    <w:rsid w:val="00BD423D"/>
    <w:rsid w:val="00BD5138"/>
    <w:rsid w:val="00BE2C66"/>
    <w:rsid w:val="00BF20C6"/>
    <w:rsid w:val="00BF35C2"/>
    <w:rsid w:val="00BF5F08"/>
    <w:rsid w:val="00C04BAC"/>
    <w:rsid w:val="00C06091"/>
    <w:rsid w:val="00C12305"/>
    <w:rsid w:val="00C27988"/>
    <w:rsid w:val="00C27C78"/>
    <w:rsid w:val="00C33073"/>
    <w:rsid w:val="00C35273"/>
    <w:rsid w:val="00C46548"/>
    <w:rsid w:val="00C47368"/>
    <w:rsid w:val="00C51B85"/>
    <w:rsid w:val="00C55B8B"/>
    <w:rsid w:val="00C63959"/>
    <w:rsid w:val="00C707F0"/>
    <w:rsid w:val="00C808CF"/>
    <w:rsid w:val="00C87A51"/>
    <w:rsid w:val="00C93393"/>
    <w:rsid w:val="00C969E1"/>
    <w:rsid w:val="00CA2E99"/>
    <w:rsid w:val="00CB4FDA"/>
    <w:rsid w:val="00CB733E"/>
    <w:rsid w:val="00CC3CAB"/>
    <w:rsid w:val="00CD21F8"/>
    <w:rsid w:val="00CD3B45"/>
    <w:rsid w:val="00CE6D03"/>
    <w:rsid w:val="00CF2BCB"/>
    <w:rsid w:val="00D25AA8"/>
    <w:rsid w:val="00D25DCB"/>
    <w:rsid w:val="00D26D4B"/>
    <w:rsid w:val="00D27A49"/>
    <w:rsid w:val="00D40024"/>
    <w:rsid w:val="00D45DA0"/>
    <w:rsid w:val="00D57B11"/>
    <w:rsid w:val="00D63833"/>
    <w:rsid w:val="00D6514E"/>
    <w:rsid w:val="00D74E2C"/>
    <w:rsid w:val="00D87D3B"/>
    <w:rsid w:val="00D92765"/>
    <w:rsid w:val="00D93946"/>
    <w:rsid w:val="00D97D5F"/>
    <w:rsid w:val="00DB2FAE"/>
    <w:rsid w:val="00DB37D9"/>
    <w:rsid w:val="00DC638F"/>
    <w:rsid w:val="00DC7CF6"/>
    <w:rsid w:val="00DE012E"/>
    <w:rsid w:val="00E052FF"/>
    <w:rsid w:val="00E06659"/>
    <w:rsid w:val="00E118E6"/>
    <w:rsid w:val="00E13558"/>
    <w:rsid w:val="00E237F0"/>
    <w:rsid w:val="00E30C16"/>
    <w:rsid w:val="00E317E9"/>
    <w:rsid w:val="00E32322"/>
    <w:rsid w:val="00E359AE"/>
    <w:rsid w:val="00E623FC"/>
    <w:rsid w:val="00E66DDD"/>
    <w:rsid w:val="00E67205"/>
    <w:rsid w:val="00E67A45"/>
    <w:rsid w:val="00E70779"/>
    <w:rsid w:val="00E72C00"/>
    <w:rsid w:val="00E75754"/>
    <w:rsid w:val="00E757F3"/>
    <w:rsid w:val="00E83FC8"/>
    <w:rsid w:val="00E851A1"/>
    <w:rsid w:val="00E86BBA"/>
    <w:rsid w:val="00E936A6"/>
    <w:rsid w:val="00EA061D"/>
    <w:rsid w:val="00EA5113"/>
    <w:rsid w:val="00EB4155"/>
    <w:rsid w:val="00EE7E0A"/>
    <w:rsid w:val="00EF3FB0"/>
    <w:rsid w:val="00EF6A1B"/>
    <w:rsid w:val="00F0181F"/>
    <w:rsid w:val="00F02135"/>
    <w:rsid w:val="00F1161C"/>
    <w:rsid w:val="00F21304"/>
    <w:rsid w:val="00F21982"/>
    <w:rsid w:val="00F24D60"/>
    <w:rsid w:val="00F27E6E"/>
    <w:rsid w:val="00F34FB0"/>
    <w:rsid w:val="00F3722F"/>
    <w:rsid w:val="00F42B99"/>
    <w:rsid w:val="00F44758"/>
    <w:rsid w:val="00F53AAA"/>
    <w:rsid w:val="00F5685C"/>
    <w:rsid w:val="00F65824"/>
    <w:rsid w:val="00F71848"/>
    <w:rsid w:val="00F71FEF"/>
    <w:rsid w:val="00F82D79"/>
    <w:rsid w:val="00F94502"/>
    <w:rsid w:val="00FA371F"/>
    <w:rsid w:val="00FA3B90"/>
    <w:rsid w:val="00FB6EB9"/>
    <w:rsid w:val="00FC4F33"/>
    <w:rsid w:val="00FC54D7"/>
    <w:rsid w:val="00FC6123"/>
    <w:rsid w:val="00FC7047"/>
    <w:rsid w:val="00FD4DEF"/>
    <w:rsid w:val="00FE05FF"/>
    <w:rsid w:val="00FE4F2E"/>
    <w:rsid w:val="00FF2EB4"/>
    <w:rsid w:val="00FF3658"/>
    <w:rsid w:val="01B25E16"/>
    <w:rsid w:val="04057DE0"/>
    <w:rsid w:val="07BB23A7"/>
    <w:rsid w:val="07D822F4"/>
    <w:rsid w:val="08341515"/>
    <w:rsid w:val="0A6F38B0"/>
    <w:rsid w:val="0E9B0089"/>
    <w:rsid w:val="0F2A1E48"/>
    <w:rsid w:val="10423742"/>
    <w:rsid w:val="124060E5"/>
    <w:rsid w:val="13F3454E"/>
    <w:rsid w:val="147C6884"/>
    <w:rsid w:val="15F31839"/>
    <w:rsid w:val="18385711"/>
    <w:rsid w:val="1B1172B8"/>
    <w:rsid w:val="1DDD6F1D"/>
    <w:rsid w:val="24634C02"/>
    <w:rsid w:val="24A44780"/>
    <w:rsid w:val="26BE6DA2"/>
    <w:rsid w:val="27CC2BDC"/>
    <w:rsid w:val="2A1F4553"/>
    <w:rsid w:val="2F474FAC"/>
    <w:rsid w:val="30435468"/>
    <w:rsid w:val="306B4BAE"/>
    <w:rsid w:val="45AB241D"/>
    <w:rsid w:val="4B4100A8"/>
    <w:rsid w:val="4CB1134D"/>
    <w:rsid w:val="4CD26E9D"/>
    <w:rsid w:val="503674D1"/>
    <w:rsid w:val="50407DE9"/>
    <w:rsid w:val="54605F58"/>
    <w:rsid w:val="59CA4002"/>
    <w:rsid w:val="5B051CDC"/>
    <w:rsid w:val="68BF655C"/>
    <w:rsid w:val="690A7914"/>
    <w:rsid w:val="7ABA0577"/>
    <w:rsid w:val="7AF83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4"/>
      <w:szCs w:val="44"/>
    </w:rPr>
  </w:style>
  <w:style w:type="character" w:customStyle="1" w:styleId="22">
    <w:name w:val="fontstyle01"/>
    <w:basedOn w:val="9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character" w:customStyle="1" w:styleId="23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C792-B61F-4935-AB18-AADB7B8357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2614</Words>
  <Characters>3136</Characters>
  <Lines>30</Lines>
  <Paragraphs>8</Paragraphs>
  <TotalTime>114</TotalTime>
  <ScaleCrop>false</ScaleCrop>
  <LinksUpToDate>false</LinksUpToDate>
  <CharactersWithSpaces>3224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2017-11-21T03:03:00Z</dcterms:created>
  <dc:creator>l</dc:creator>
  <cp:lastModifiedBy>龚雪阳</cp:lastModifiedBy>
  <cp:lastPrinted>2021-06-10T05:21:00Z</cp:lastPrinted>
  <dcterms:modified xsi:type="dcterms:W3CDTF">2022-05-17T08:40:03Z</dcterms:modified>
  <cp:revision>339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6502ADE8579543F795038225A4D9CA06</vt:lpwstr>
  </property>
</Properties>
</file>